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7E" w:rsidRPr="00EF2C98" w:rsidRDefault="00F8487E" w:rsidP="00032457">
      <w:pPr>
        <w:pStyle w:val="Titulo1"/>
        <w:ind w:left="708" w:hanging="708"/>
        <w:rPr>
          <w:rFonts w:cs="Times New Roman"/>
        </w:rPr>
      </w:pPr>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fundando y </w:t>
      </w:r>
      <w:r w:rsidRPr="004072B5">
        <w:rPr>
          <w:szCs w:val="24"/>
        </w:rPr>
        <w:lastRenderedPageBreak/>
        <w:t>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lastRenderedPageBreak/>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lastRenderedPageBreak/>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lastRenderedPageBreak/>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 xml:space="preserve">Que con su divulgación se afecte la oportunidad de llevar a cabo </w:t>
      </w:r>
      <w:proofErr w:type="gramStart"/>
      <w:r w:rsidRPr="004072B5">
        <w:rPr>
          <w:szCs w:val="24"/>
        </w:rPr>
        <w:t>alguna</w:t>
      </w:r>
      <w:proofErr w:type="gramEnd"/>
      <w:r w:rsidRPr="004072B5">
        <w:rPr>
          <w:szCs w:val="24"/>
        </w:rPr>
        <w:t xml:space="preserve">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w:t>
      </w:r>
      <w:bookmarkStart w:id="0" w:name="_GoBack"/>
      <w:bookmarkEnd w:id="0"/>
      <w:r w:rsidRPr="004072B5">
        <w:rPr>
          <w:szCs w:val="24"/>
        </w:rPr>
        <w:t xml:space="preserve">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w:t>
      </w:r>
      <w:proofErr w:type="gramStart"/>
      <w:r w:rsidRPr="004072B5">
        <w:rPr>
          <w:szCs w:val="24"/>
        </w:rPr>
        <w:t>fundada y motivada</w:t>
      </w:r>
      <w:proofErr w:type="gramEnd"/>
      <w:r w:rsidRPr="004072B5">
        <w:rPr>
          <w:szCs w:val="24"/>
        </w:rPr>
        <w:t>,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lastRenderedPageBreak/>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sobre el manejo del negocio del titular, sobre su proceso de toma de decisiones o información que pudiera </w:t>
      </w:r>
      <w:r w:rsidRPr="004072B5">
        <w:rPr>
          <w:szCs w:val="24"/>
        </w:rPr>
        <w:lastRenderedPageBreak/>
        <w:t>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lastRenderedPageBreak/>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lastRenderedPageBreak/>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clasifican como reservadas. Si el documento fuera reservado en su totalidad, se </w:t>
            </w:r>
            <w:proofErr w:type="gramStart"/>
            <w:r w:rsidRPr="004072B5">
              <w:rPr>
                <w:sz w:val="16"/>
                <w:szCs w:val="16"/>
              </w:rPr>
              <w:t>anotarán</w:t>
            </w:r>
            <w:proofErr w:type="gramEnd"/>
            <w:r w:rsidRPr="004072B5">
              <w:rPr>
                <w:sz w:val="16"/>
                <w:szCs w:val="16"/>
              </w:rPr>
              <w:t xml:space="preserve">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 como confidencial. Si el documento fuera confidencial en su totalidad, se anotarán todas las páginas que </w:t>
            </w:r>
            <w:r w:rsidRPr="004072B5">
              <w:rPr>
                <w:sz w:val="16"/>
                <w:szCs w:val="16"/>
              </w:rPr>
              <w:lastRenderedPageBreak/>
              <w:t>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lastRenderedPageBreak/>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lastRenderedPageBreak/>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lastRenderedPageBreak/>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lastRenderedPageBreak/>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0C" w:rsidRDefault="00F43A0C">
      <w:r>
        <w:separator/>
      </w:r>
    </w:p>
  </w:endnote>
  <w:endnote w:type="continuationSeparator" w:id="0">
    <w:p w:rsidR="00F43A0C" w:rsidRDefault="00F4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0C" w:rsidRDefault="00F43A0C">
      <w:r>
        <w:separator/>
      </w:r>
    </w:p>
  </w:footnote>
  <w:footnote w:type="continuationSeparator" w:id="0">
    <w:p w:rsidR="00F43A0C" w:rsidRDefault="00F4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E"/>
    <w:rsid w:val="00032457"/>
    <w:rsid w:val="00637C4E"/>
    <w:rsid w:val="00944276"/>
    <w:rsid w:val="009977F3"/>
    <w:rsid w:val="00F43A0C"/>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7ADFD60-99D1-4E58-A61C-CA5DCE31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Alma Aurelia Vega Aguilar</cp:lastModifiedBy>
  <cp:revision>3</cp:revision>
  <dcterms:created xsi:type="dcterms:W3CDTF">2016-09-06T16:41:00Z</dcterms:created>
  <dcterms:modified xsi:type="dcterms:W3CDTF">2016-11-25T21:35:00Z</dcterms:modified>
</cp:coreProperties>
</file>