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AC" w:rsidRPr="00E10B55" w:rsidRDefault="00163EAC" w:rsidP="00163EAC">
      <w:pPr>
        <w:jc w:val="center"/>
        <w:rPr>
          <w:rFonts w:ascii="Arial" w:hAnsi="Arial" w:cs="Arial"/>
          <w:b/>
          <w:color w:val="365F91" w:themeColor="accent1" w:themeShade="BF"/>
          <w:sz w:val="20"/>
          <w:szCs w:val="20"/>
          <w:lang w:val="es-MX"/>
        </w:rPr>
      </w:pPr>
      <w:bookmarkStart w:id="0" w:name="_GoBack"/>
      <w:bookmarkEnd w:id="0"/>
      <w:r w:rsidRPr="00E10B55">
        <w:rPr>
          <w:rFonts w:ascii="Arial" w:hAnsi="Arial" w:cs="Arial"/>
          <w:b/>
          <w:color w:val="365F91" w:themeColor="accent1" w:themeShade="BF"/>
          <w:sz w:val="20"/>
          <w:szCs w:val="20"/>
          <w:lang w:val="es-MX"/>
        </w:rPr>
        <w:t>Fondo Auxiliar para la Procuración de Justicia</w:t>
      </w:r>
    </w:p>
    <w:p w:rsidR="00163EAC" w:rsidRPr="00E10B55" w:rsidRDefault="00163EAC" w:rsidP="00163EAC">
      <w:pPr>
        <w:tabs>
          <w:tab w:val="left" w:pos="180"/>
        </w:tabs>
        <w:autoSpaceDE w:val="0"/>
        <w:autoSpaceDN w:val="0"/>
        <w:adjustRightInd w:val="0"/>
        <w:jc w:val="both"/>
        <w:rPr>
          <w:rFonts w:ascii="Arial" w:hAnsi="Arial" w:cs="Arial"/>
          <w:color w:val="000000"/>
          <w:sz w:val="20"/>
          <w:szCs w:val="20"/>
          <w:lang w:val="es-MX"/>
        </w:rPr>
      </w:pPr>
    </w:p>
    <w:p w:rsidR="00163EAC" w:rsidRPr="00E10B55" w:rsidRDefault="00163EAC" w:rsidP="00163EAC">
      <w:pPr>
        <w:tabs>
          <w:tab w:val="left" w:pos="180"/>
        </w:tabs>
        <w:autoSpaceDE w:val="0"/>
        <w:autoSpaceDN w:val="0"/>
        <w:adjustRightInd w:val="0"/>
        <w:jc w:val="both"/>
        <w:rPr>
          <w:rFonts w:ascii="Arial" w:hAnsi="Arial" w:cs="Arial"/>
          <w:color w:val="000000"/>
          <w:sz w:val="20"/>
          <w:szCs w:val="20"/>
          <w:lang w:val="es-MX"/>
        </w:rPr>
      </w:pPr>
    </w:p>
    <w:p w:rsidR="00163EAC" w:rsidRPr="00E10B55" w:rsidRDefault="00163EAC" w:rsidP="00163EAC">
      <w:pPr>
        <w:pStyle w:val="Default"/>
        <w:jc w:val="both"/>
        <w:rPr>
          <w:sz w:val="20"/>
          <w:szCs w:val="20"/>
        </w:rPr>
      </w:pPr>
      <w:r w:rsidRPr="00E10B55">
        <w:rPr>
          <w:sz w:val="20"/>
          <w:szCs w:val="20"/>
        </w:rPr>
        <w:t>Con fundamento en los artículos 27 de la Ley para la Administración y Disposición de Bienes Relacionados con Hechos Delictuosos para el Estado de Guanajuato y 26 de los Lineamientos para la Administración y Aplicación de los Recursos del Fondo Auxiliar para la Procuración de Justicia, se informa lo siguiente:</w:t>
      </w:r>
    </w:p>
    <w:p w:rsidR="00163EAC" w:rsidRPr="00E10B55" w:rsidRDefault="00163EAC" w:rsidP="00163EAC">
      <w:pPr>
        <w:pStyle w:val="Default"/>
        <w:jc w:val="both"/>
        <w:rPr>
          <w:sz w:val="20"/>
          <w:szCs w:val="20"/>
        </w:rPr>
      </w:pPr>
    </w:p>
    <w:p w:rsidR="00163EAC" w:rsidRPr="00E10B55" w:rsidRDefault="00163EAC" w:rsidP="00163EAC">
      <w:pPr>
        <w:pStyle w:val="Default"/>
        <w:jc w:val="both"/>
        <w:rPr>
          <w:sz w:val="20"/>
          <w:szCs w:val="20"/>
        </w:rPr>
      </w:pPr>
    </w:p>
    <w:p w:rsidR="00163EAC" w:rsidRPr="00E10B55" w:rsidRDefault="00163EAC" w:rsidP="00163EAC">
      <w:pPr>
        <w:pStyle w:val="Default"/>
        <w:jc w:val="both"/>
        <w:rPr>
          <w:b/>
          <w:sz w:val="20"/>
          <w:szCs w:val="20"/>
          <w:lang w:val="es-ES"/>
        </w:rPr>
      </w:pPr>
      <w:r w:rsidRPr="00E10B55">
        <w:rPr>
          <w:b/>
          <w:sz w:val="20"/>
          <w:szCs w:val="20"/>
          <w:lang w:val="es-ES"/>
        </w:rPr>
        <w:t>Antecedentes</w:t>
      </w:r>
    </w:p>
    <w:p w:rsidR="00163EAC" w:rsidRPr="00E10B55" w:rsidRDefault="00163EAC" w:rsidP="00163EAC">
      <w:pPr>
        <w:pStyle w:val="Default"/>
        <w:jc w:val="both"/>
        <w:rPr>
          <w:sz w:val="20"/>
          <w:szCs w:val="20"/>
        </w:rPr>
      </w:pPr>
    </w:p>
    <w:p w:rsidR="00163EAC" w:rsidRPr="00E10B55" w:rsidRDefault="00163EAC" w:rsidP="00163EAC">
      <w:pPr>
        <w:pStyle w:val="Default"/>
        <w:jc w:val="both"/>
        <w:rPr>
          <w:sz w:val="20"/>
          <w:szCs w:val="20"/>
        </w:rPr>
      </w:pPr>
      <w:r w:rsidRPr="00E10B55">
        <w:rPr>
          <w:sz w:val="20"/>
          <w:szCs w:val="20"/>
        </w:rPr>
        <w:t>En el Periódico Oficial del Gobierno del Estado 128 segunda parte de fecha 12 de agosto de 2011, se publicó el Decreto 177 expedido por la Sexagésima Primera Legislatura Constitucional del Estado Libre y Soberano de Guanajuato, mediante el cual es emitida la Ley para la Administración y Disposición de Bienes Relacionados con Hechos Delictuosos para el Estado de Guanajuato.</w:t>
      </w:r>
    </w:p>
    <w:p w:rsidR="00163EAC" w:rsidRPr="00E10B55" w:rsidRDefault="00163EAC" w:rsidP="00163EAC">
      <w:pPr>
        <w:tabs>
          <w:tab w:val="left" w:pos="180"/>
        </w:tabs>
        <w:autoSpaceDE w:val="0"/>
        <w:autoSpaceDN w:val="0"/>
        <w:adjustRightInd w:val="0"/>
        <w:jc w:val="both"/>
        <w:rPr>
          <w:rFonts w:ascii="Arial" w:hAnsi="Arial" w:cs="Arial"/>
          <w:color w:val="000000"/>
          <w:sz w:val="20"/>
          <w:szCs w:val="20"/>
        </w:rPr>
      </w:pPr>
    </w:p>
    <w:p w:rsidR="00163EAC" w:rsidRPr="00E10B55" w:rsidRDefault="00163EAC" w:rsidP="00163EAC">
      <w:pPr>
        <w:tabs>
          <w:tab w:val="left" w:pos="180"/>
        </w:tabs>
        <w:autoSpaceDE w:val="0"/>
        <w:autoSpaceDN w:val="0"/>
        <w:adjustRightInd w:val="0"/>
        <w:jc w:val="both"/>
        <w:rPr>
          <w:rFonts w:ascii="Arial" w:hAnsi="Arial" w:cs="Arial"/>
          <w:color w:val="000000"/>
          <w:sz w:val="20"/>
          <w:szCs w:val="20"/>
          <w:lang w:val="es-MX"/>
        </w:rPr>
      </w:pPr>
      <w:r w:rsidRPr="00E10B55">
        <w:rPr>
          <w:rFonts w:ascii="Arial" w:hAnsi="Arial" w:cs="Arial"/>
          <w:color w:val="000000"/>
          <w:sz w:val="20"/>
          <w:szCs w:val="20"/>
        </w:rPr>
        <w:t xml:space="preserve">Posteriormente, </w:t>
      </w:r>
      <w:r w:rsidRPr="00E10B55">
        <w:rPr>
          <w:rFonts w:ascii="Arial" w:hAnsi="Arial" w:cs="Arial"/>
          <w:color w:val="000000"/>
          <w:sz w:val="20"/>
          <w:szCs w:val="20"/>
          <w:lang w:val="es-MX"/>
        </w:rPr>
        <w:t>se publica en el Periódico Oficial del Gobierno del Estado 91 tercera parte de fecha 7 de junio de 2013, el Decreto 74, expedido por la Sexagésima Segunda Legislatura Constitucional del Estado Libre y Soberano de Guanajuato, mediante el cual se reforman, adicionan y derogan diversas disposiciones de la misma ley, y cuya vigencia inicia a partir del 11 de junio de 2013, según el texto del Artículo Primero Transitorio.</w:t>
      </w:r>
    </w:p>
    <w:p w:rsidR="00163EAC" w:rsidRPr="00E10B55" w:rsidRDefault="00163EAC" w:rsidP="00163EAC">
      <w:pPr>
        <w:tabs>
          <w:tab w:val="left" w:pos="180"/>
        </w:tabs>
        <w:autoSpaceDE w:val="0"/>
        <w:autoSpaceDN w:val="0"/>
        <w:adjustRightInd w:val="0"/>
        <w:jc w:val="both"/>
        <w:rPr>
          <w:rFonts w:ascii="Arial" w:hAnsi="Arial" w:cs="Arial"/>
          <w:color w:val="000000"/>
          <w:sz w:val="20"/>
          <w:szCs w:val="20"/>
          <w:lang w:val="es-MX"/>
        </w:rPr>
      </w:pPr>
    </w:p>
    <w:p w:rsidR="00163EAC" w:rsidRPr="00E10B55" w:rsidRDefault="00163EAC" w:rsidP="00163EAC">
      <w:pPr>
        <w:tabs>
          <w:tab w:val="left" w:pos="180"/>
        </w:tabs>
        <w:autoSpaceDE w:val="0"/>
        <w:autoSpaceDN w:val="0"/>
        <w:adjustRightInd w:val="0"/>
        <w:jc w:val="both"/>
        <w:rPr>
          <w:rFonts w:ascii="Arial" w:hAnsi="Arial" w:cs="Arial"/>
          <w:color w:val="000000"/>
          <w:sz w:val="20"/>
          <w:szCs w:val="20"/>
          <w:lang w:val="es-MX"/>
        </w:rPr>
      </w:pPr>
      <w:r w:rsidRPr="00E10B55">
        <w:rPr>
          <w:rFonts w:ascii="Arial" w:hAnsi="Arial" w:cs="Arial"/>
          <w:color w:val="000000"/>
          <w:sz w:val="20"/>
          <w:szCs w:val="20"/>
        </w:rPr>
        <w:t xml:space="preserve">Con fecha 5 de diciembre de 2014, </w:t>
      </w:r>
      <w:r w:rsidRPr="00E10B55">
        <w:rPr>
          <w:rFonts w:ascii="Arial" w:hAnsi="Arial" w:cs="Arial"/>
          <w:color w:val="000000"/>
          <w:sz w:val="20"/>
          <w:szCs w:val="20"/>
          <w:lang w:val="es-MX"/>
        </w:rPr>
        <w:t>se publican en el Periódico Oficial del Gobierno del Estado 194 cuarta parte los Acuerdos 5/2014, por el que se expiden los Lineamientos para la Administración y Aplicación de los Recursos del Fondo Auxiliar para la Procuración de Justicia y 6/2014, por el que se expiden los Lineamientos para la Entrega de Estímulos y Reconocimientos al Personal Sustantivo de la Procuraduría General de Justicia, expedidos por el C. Procurador General de Justicia del Estado de Guanajuato, y cuya vigencia es a partir de la fecha de su suscripción.</w:t>
      </w:r>
    </w:p>
    <w:p w:rsidR="00163EAC" w:rsidRPr="00E10B55" w:rsidRDefault="00163EAC" w:rsidP="00163EAC">
      <w:pPr>
        <w:jc w:val="both"/>
        <w:rPr>
          <w:rFonts w:ascii="Arial" w:hAnsi="Arial" w:cs="Arial"/>
          <w:color w:val="000000"/>
          <w:sz w:val="20"/>
          <w:szCs w:val="20"/>
          <w:lang w:val="es-MX"/>
        </w:rPr>
      </w:pPr>
    </w:p>
    <w:p w:rsidR="00163EAC" w:rsidRPr="00E10B55" w:rsidRDefault="00163EAC" w:rsidP="00163EAC">
      <w:pPr>
        <w:jc w:val="both"/>
        <w:rPr>
          <w:rFonts w:ascii="Arial" w:hAnsi="Arial" w:cs="Arial"/>
          <w:color w:val="000000"/>
          <w:sz w:val="20"/>
          <w:szCs w:val="20"/>
          <w:lang w:val="es-MX"/>
        </w:rPr>
      </w:pPr>
    </w:p>
    <w:p w:rsidR="00163EAC" w:rsidRPr="00E10B55" w:rsidRDefault="00163EAC" w:rsidP="00163EAC">
      <w:pPr>
        <w:jc w:val="both"/>
        <w:rPr>
          <w:rFonts w:ascii="Arial" w:hAnsi="Arial" w:cs="Arial"/>
          <w:b/>
          <w:color w:val="000000"/>
          <w:sz w:val="20"/>
          <w:szCs w:val="20"/>
          <w:lang w:val="es-MX"/>
        </w:rPr>
      </w:pPr>
      <w:r w:rsidRPr="00E10B55">
        <w:rPr>
          <w:rFonts w:ascii="Arial" w:hAnsi="Arial" w:cs="Arial"/>
          <w:b/>
          <w:color w:val="000000"/>
          <w:sz w:val="20"/>
          <w:szCs w:val="20"/>
          <w:lang w:val="es-MX"/>
        </w:rPr>
        <w:t>Administración y Aplicación de los Recursos</w:t>
      </w:r>
    </w:p>
    <w:p w:rsidR="00163EAC" w:rsidRPr="00E10B55" w:rsidRDefault="00163EAC" w:rsidP="00163EAC">
      <w:pPr>
        <w:jc w:val="both"/>
        <w:rPr>
          <w:rFonts w:ascii="Arial" w:hAnsi="Arial" w:cs="Arial"/>
          <w:b/>
          <w:color w:val="000000"/>
          <w:sz w:val="20"/>
          <w:szCs w:val="20"/>
          <w:lang w:val="es-MX"/>
        </w:rPr>
      </w:pPr>
    </w:p>
    <w:p w:rsidR="00163EAC" w:rsidRPr="00E10B55" w:rsidRDefault="00163EAC" w:rsidP="00163EAC">
      <w:pPr>
        <w:jc w:val="both"/>
        <w:rPr>
          <w:rFonts w:ascii="Arial" w:hAnsi="Arial" w:cs="Arial"/>
          <w:i/>
          <w:color w:val="000000"/>
          <w:sz w:val="20"/>
          <w:szCs w:val="20"/>
          <w:lang w:val="es-MX"/>
        </w:rPr>
      </w:pPr>
      <w:r w:rsidRPr="00E10B55">
        <w:rPr>
          <w:rFonts w:ascii="Arial" w:hAnsi="Arial" w:cs="Arial"/>
          <w:color w:val="000000"/>
          <w:sz w:val="20"/>
          <w:szCs w:val="20"/>
          <w:lang w:val="es-MX"/>
        </w:rPr>
        <w:t xml:space="preserve">En los Lineamientos para la Administración y Aplicación de los Recursos del Fondo Auxiliar para la Procuración de Justicia, su Artículo 4 establece que: </w:t>
      </w:r>
      <w:r w:rsidRPr="00E10B55">
        <w:rPr>
          <w:rFonts w:ascii="Arial" w:hAnsi="Arial" w:cs="Arial"/>
          <w:i/>
          <w:color w:val="000000"/>
          <w:sz w:val="20"/>
          <w:szCs w:val="20"/>
          <w:lang w:val="es-MX"/>
        </w:rPr>
        <w:t xml:space="preserve">«Los productos que corresponda asignar al Fondo, serán depositados en cuenta bancaria </w:t>
      </w:r>
      <w:proofErr w:type="spellStart"/>
      <w:r w:rsidRPr="00E10B55">
        <w:rPr>
          <w:rFonts w:ascii="Arial" w:hAnsi="Arial" w:cs="Arial"/>
          <w:i/>
          <w:color w:val="000000"/>
          <w:sz w:val="20"/>
          <w:szCs w:val="20"/>
          <w:lang w:val="es-MX"/>
        </w:rPr>
        <w:t>aperturada</w:t>
      </w:r>
      <w:proofErr w:type="spellEnd"/>
      <w:r w:rsidRPr="00E10B55">
        <w:rPr>
          <w:rFonts w:ascii="Arial" w:hAnsi="Arial" w:cs="Arial"/>
          <w:i/>
          <w:color w:val="000000"/>
          <w:sz w:val="20"/>
          <w:szCs w:val="20"/>
          <w:lang w:val="es-MX"/>
        </w:rPr>
        <w:t>, administrada y designada por la Procuraduría, a través de la Dirección, en términos de la normativa aplicable».</w:t>
      </w:r>
    </w:p>
    <w:p w:rsidR="00163EAC" w:rsidRPr="00E10B55" w:rsidRDefault="00163EAC" w:rsidP="00163EAC">
      <w:pPr>
        <w:jc w:val="both"/>
        <w:rPr>
          <w:rFonts w:ascii="Arial" w:hAnsi="Arial" w:cs="Arial"/>
          <w:color w:val="000000"/>
          <w:sz w:val="20"/>
          <w:szCs w:val="20"/>
          <w:lang w:val="es-MX"/>
        </w:rPr>
      </w:pPr>
    </w:p>
    <w:p w:rsidR="00163EAC" w:rsidRPr="00E10B55" w:rsidRDefault="00163EAC" w:rsidP="00163EAC">
      <w:pPr>
        <w:jc w:val="both"/>
        <w:rPr>
          <w:rFonts w:ascii="Arial" w:hAnsi="Arial" w:cs="Arial"/>
          <w:color w:val="000000"/>
          <w:sz w:val="20"/>
          <w:szCs w:val="20"/>
          <w:lang w:val="es-MX"/>
        </w:rPr>
      </w:pPr>
      <w:r w:rsidRPr="00E10B55">
        <w:rPr>
          <w:rFonts w:ascii="Arial" w:hAnsi="Arial" w:cs="Arial"/>
          <w:color w:val="000000"/>
          <w:sz w:val="20"/>
          <w:szCs w:val="20"/>
          <w:lang w:val="es-MX"/>
        </w:rPr>
        <w:t>Y en su artículo 17 menciona que</w:t>
      </w:r>
      <w:r w:rsidRPr="00E10B55">
        <w:rPr>
          <w:rFonts w:ascii="Arial" w:hAnsi="Arial" w:cs="Arial"/>
          <w:i/>
          <w:color w:val="000000"/>
          <w:sz w:val="20"/>
          <w:szCs w:val="20"/>
          <w:lang w:val="es-MX"/>
        </w:rPr>
        <w:t>: «La autorización para la aplicación de los recursos del Fondo para los supuestos legalmente establecidos corresponde al Comité conforme a lo previsto en los presentes Lineamientos».</w:t>
      </w:r>
    </w:p>
    <w:p w:rsidR="00163EAC" w:rsidRPr="00E10B55" w:rsidRDefault="00163EAC" w:rsidP="00163EAC">
      <w:pPr>
        <w:jc w:val="both"/>
        <w:rPr>
          <w:rFonts w:ascii="Arial" w:hAnsi="Arial" w:cs="Arial"/>
          <w:color w:val="000000"/>
          <w:sz w:val="20"/>
          <w:szCs w:val="20"/>
          <w:lang w:val="es-MX"/>
        </w:rPr>
      </w:pPr>
    </w:p>
    <w:p w:rsidR="00163EAC" w:rsidRPr="00E10B55" w:rsidRDefault="00163EAC" w:rsidP="00163EAC">
      <w:pPr>
        <w:tabs>
          <w:tab w:val="left" w:pos="0"/>
        </w:tabs>
        <w:jc w:val="both"/>
        <w:rPr>
          <w:rFonts w:ascii="Arial" w:hAnsi="Arial" w:cs="Arial"/>
          <w:color w:val="000000"/>
          <w:sz w:val="20"/>
          <w:szCs w:val="20"/>
          <w:lang w:val="es-MX"/>
        </w:rPr>
      </w:pPr>
      <w:r w:rsidRPr="00E10B55">
        <w:rPr>
          <w:rFonts w:ascii="Arial" w:hAnsi="Arial" w:cs="Arial"/>
          <w:color w:val="000000"/>
          <w:sz w:val="20"/>
          <w:szCs w:val="20"/>
          <w:lang w:val="es-MX"/>
        </w:rPr>
        <w:t>Asimismo, en la Ley del Presupuesto General de Egresos del Estado de Guanajuato para el Ejercicio Fiscal de 201</w:t>
      </w:r>
      <w:r>
        <w:rPr>
          <w:rFonts w:ascii="Arial" w:hAnsi="Arial" w:cs="Arial"/>
          <w:color w:val="000000"/>
          <w:sz w:val="20"/>
          <w:szCs w:val="20"/>
          <w:lang w:val="es-MX"/>
        </w:rPr>
        <w:t>6</w:t>
      </w:r>
      <w:r w:rsidRPr="00E10B55">
        <w:rPr>
          <w:rFonts w:ascii="Arial" w:hAnsi="Arial" w:cs="Arial"/>
          <w:color w:val="000000"/>
          <w:sz w:val="20"/>
          <w:szCs w:val="20"/>
          <w:lang w:val="es-MX"/>
        </w:rPr>
        <w:t>, su Artículo 5</w:t>
      </w:r>
      <w:r>
        <w:rPr>
          <w:rFonts w:ascii="Arial" w:hAnsi="Arial" w:cs="Arial"/>
          <w:color w:val="000000"/>
          <w:sz w:val="20"/>
          <w:szCs w:val="20"/>
          <w:lang w:val="es-MX"/>
        </w:rPr>
        <w:t>2</w:t>
      </w:r>
      <w:r w:rsidRPr="00E10B55">
        <w:rPr>
          <w:rFonts w:ascii="Arial" w:hAnsi="Arial" w:cs="Arial"/>
          <w:color w:val="000000"/>
          <w:sz w:val="20"/>
          <w:szCs w:val="20"/>
          <w:lang w:val="es-MX"/>
        </w:rPr>
        <w:t xml:space="preserve">, segundo párrafo señala que: </w:t>
      </w:r>
    </w:p>
    <w:p w:rsidR="00163EAC" w:rsidRPr="00E10B55" w:rsidRDefault="00163EAC" w:rsidP="00163EAC">
      <w:pPr>
        <w:jc w:val="both"/>
        <w:rPr>
          <w:rFonts w:ascii="Arial" w:hAnsi="Arial" w:cs="Arial"/>
          <w:color w:val="000000"/>
          <w:sz w:val="20"/>
          <w:szCs w:val="20"/>
          <w:lang w:val="es-MX"/>
        </w:rPr>
      </w:pPr>
    </w:p>
    <w:p w:rsidR="00163EAC" w:rsidRPr="00E10B55" w:rsidRDefault="00163EAC" w:rsidP="00163EAC">
      <w:pPr>
        <w:jc w:val="both"/>
        <w:rPr>
          <w:rFonts w:ascii="Arial" w:hAnsi="Arial" w:cs="Arial"/>
          <w:i/>
          <w:color w:val="000000"/>
          <w:sz w:val="20"/>
          <w:szCs w:val="20"/>
          <w:lang w:val="es-MX"/>
        </w:rPr>
      </w:pPr>
      <w:r w:rsidRPr="00E10B55">
        <w:rPr>
          <w:rFonts w:ascii="Arial" w:hAnsi="Arial" w:cs="Arial"/>
          <w:i/>
          <w:color w:val="000000"/>
          <w:sz w:val="20"/>
          <w:szCs w:val="20"/>
          <w:lang w:val="es-MX"/>
        </w:rPr>
        <w:t>«La Procuraduría General de Justicia del Estado administrará directamente los recursos correspondientes al Fondo para la Atención y Apoyo a las Víctimas y a los Ofendidos del Delito del Estado de Guanajuato y al Fondo Auxiliar para la Procuración de Justicia, en los términos previstos en la Ley y demás normativa aplicable. Los ingresos obtenidos por los derechos establecidos en el artículo 1</w:t>
      </w:r>
      <w:r>
        <w:rPr>
          <w:rFonts w:ascii="Arial" w:hAnsi="Arial" w:cs="Arial"/>
          <w:i/>
          <w:color w:val="000000"/>
          <w:sz w:val="20"/>
          <w:szCs w:val="20"/>
          <w:lang w:val="es-MX"/>
        </w:rPr>
        <w:t>9</w:t>
      </w:r>
      <w:r w:rsidRPr="00E10B55">
        <w:rPr>
          <w:rFonts w:ascii="Arial" w:hAnsi="Arial" w:cs="Arial"/>
          <w:i/>
          <w:color w:val="000000"/>
          <w:sz w:val="20"/>
          <w:szCs w:val="20"/>
          <w:lang w:val="es-MX"/>
        </w:rPr>
        <w:t>, fracción V de la Ley de Ingresos para el Estado de Guanajuato para el Ejercicio Fiscal de 201</w:t>
      </w:r>
      <w:r>
        <w:rPr>
          <w:rFonts w:ascii="Arial" w:hAnsi="Arial" w:cs="Arial"/>
          <w:i/>
          <w:color w:val="000000"/>
          <w:sz w:val="20"/>
          <w:szCs w:val="20"/>
          <w:lang w:val="es-MX"/>
        </w:rPr>
        <w:t>6</w:t>
      </w:r>
      <w:r w:rsidRPr="00E10B55">
        <w:rPr>
          <w:rFonts w:ascii="Arial" w:hAnsi="Arial" w:cs="Arial"/>
          <w:i/>
          <w:color w:val="000000"/>
          <w:sz w:val="20"/>
          <w:szCs w:val="20"/>
          <w:lang w:val="es-MX"/>
        </w:rPr>
        <w:t>, serán destinados en igual proporción para integrar cada uno de los fondos a que se refiere el presente párrafo».</w:t>
      </w:r>
    </w:p>
    <w:p w:rsidR="00163EAC" w:rsidRPr="00E10B55" w:rsidRDefault="00163EAC" w:rsidP="00163EAC">
      <w:pPr>
        <w:jc w:val="both"/>
        <w:rPr>
          <w:rFonts w:ascii="Arial" w:hAnsi="Arial" w:cs="Arial"/>
          <w:color w:val="000000"/>
          <w:sz w:val="20"/>
          <w:szCs w:val="20"/>
          <w:lang w:val="es-MX"/>
        </w:rPr>
      </w:pPr>
      <w:r w:rsidRPr="00E10B55">
        <w:rPr>
          <w:rFonts w:ascii="Arial" w:hAnsi="Arial" w:cs="Arial"/>
          <w:color w:val="000000"/>
          <w:sz w:val="20"/>
          <w:szCs w:val="20"/>
          <w:lang w:val="es-MX"/>
        </w:rPr>
        <w:lastRenderedPageBreak/>
        <w:t xml:space="preserve">En este contexto, el artículo señalado menciona lo siguiente: </w:t>
      </w:r>
    </w:p>
    <w:p w:rsidR="00163EAC" w:rsidRPr="00E10B55" w:rsidRDefault="00163EAC" w:rsidP="00163EAC">
      <w:pPr>
        <w:jc w:val="both"/>
        <w:rPr>
          <w:rFonts w:ascii="Arial" w:hAnsi="Arial" w:cs="Arial"/>
          <w:i/>
          <w:color w:val="000000"/>
          <w:sz w:val="20"/>
          <w:szCs w:val="20"/>
          <w:lang w:val="es-MX"/>
        </w:rPr>
      </w:pPr>
    </w:p>
    <w:p w:rsidR="00163EAC" w:rsidRPr="00E10B55" w:rsidRDefault="00163EAC" w:rsidP="00163EAC">
      <w:pPr>
        <w:jc w:val="both"/>
        <w:rPr>
          <w:rFonts w:ascii="Arial" w:hAnsi="Arial" w:cs="Arial"/>
          <w:i/>
          <w:color w:val="000000"/>
          <w:sz w:val="20"/>
          <w:szCs w:val="20"/>
          <w:lang w:val="es-MX"/>
        </w:rPr>
      </w:pPr>
      <w:r w:rsidRPr="00E10B55">
        <w:rPr>
          <w:rFonts w:ascii="Arial" w:hAnsi="Arial" w:cs="Arial"/>
          <w:i/>
          <w:color w:val="000000"/>
          <w:sz w:val="20"/>
          <w:szCs w:val="20"/>
          <w:lang w:val="es-MX"/>
        </w:rPr>
        <w:t xml:space="preserve">«Por las constancias expedidas por la Procuraduría General de Justicia del Estado de Guanajuato, sobre: </w:t>
      </w:r>
    </w:p>
    <w:p w:rsidR="00163EAC" w:rsidRPr="00E10B55" w:rsidRDefault="00163EAC" w:rsidP="00163EAC">
      <w:pPr>
        <w:jc w:val="both"/>
        <w:rPr>
          <w:rFonts w:ascii="Arial" w:hAnsi="Arial" w:cs="Arial"/>
          <w:i/>
          <w:color w:val="000000"/>
          <w:sz w:val="20"/>
          <w:szCs w:val="20"/>
          <w:lang w:val="es-MX"/>
        </w:rPr>
      </w:pPr>
    </w:p>
    <w:p w:rsidR="00163EAC" w:rsidRPr="00E10B55" w:rsidRDefault="00163EAC" w:rsidP="00163EAC">
      <w:pPr>
        <w:jc w:val="both"/>
        <w:rPr>
          <w:rFonts w:ascii="Arial" w:hAnsi="Arial" w:cs="Arial"/>
          <w:i/>
          <w:color w:val="000000"/>
          <w:sz w:val="20"/>
          <w:szCs w:val="20"/>
          <w:lang w:val="es-MX"/>
        </w:rPr>
      </w:pPr>
      <w:r w:rsidRPr="00E10B55">
        <w:rPr>
          <w:rFonts w:ascii="Arial" w:hAnsi="Arial" w:cs="Arial"/>
          <w:i/>
          <w:color w:val="000000"/>
          <w:sz w:val="20"/>
          <w:szCs w:val="20"/>
          <w:lang w:val="es-MX"/>
        </w:rPr>
        <w:tab/>
        <w:t xml:space="preserve">a) </w:t>
      </w:r>
      <w:r w:rsidRPr="00E10B55">
        <w:rPr>
          <w:rFonts w:ascii="Arial" w:hAnsi="Arial" w:cs="Arial"/>
          <w:i/>
          <w:color w:val="000000"/>
          <w:sz w:val="20"/>
          <w:szCs w:val="20"/>
          <w:lang w:val="es-MX"/>
        </w:rPr>
        <w:tab/>
        <w:t xml:space="preserve">No antecedentes penales </w:t>
      </w:r>
    </w:p>
    <w:p w:rsidR="00163EAC" w:rsidRPr="00E10B55" w:rsidRDefault="00163EAC" w:rsidP="00163EAC">
      <w:pPr>
        <w:jc w:val="both"/>
        <w:rPr>
          <w:rFonts w:ascii="Arial" w:hAnsi="Arial" w:cs="Arial"/>
          <w:i/>
          <w:color w:val="000000"/>
          <w:sz w:val="20"/>
          <w:szCs w:val="20"/>
          <w:lang w:val="es-MX"/>
        </w:rPr>
      </w:pPr>
      <w:r w:rsidRPr="00E10B55">
        <w:rPr>
          <w:rFonts w:ascii="Arial" w:hAnsi="Arial" w:cs="Arial"/>
          <w:i/>
          <w:color w:val="000000"/>
          <w:sz w:val="20"/>
          <w:szCs w:val="20"/>
          <w:lang w:val="es-MX"/>
        </w:rPr>
        <w:tab/>
        <w:t xml:space="preserve">b) </w:t>
      </w:r>
      <w:r w:rsidRPr="00E10B55">
        <w:rPr>
          <w:rFonts w:ascii="Arial" w:hAnsi="Arial" w:cs="Arial"/>
          <w:i/>
          <w:color w:val="000000"/>
          <w:sz w:val="20"/>
          <w:szCs w:val="20"/>
          <w:lang w:val="es-MX"/>
        </w:rPr>
        <w:tab/>
        <w:t>No reporte de robo de vehículo de motor</w:t>
      </w:r>
    </w:p>
    <w:p w:rsidR="00163EAC" w:rsidRPr="00E10B55" w:rsidRDefault="00163EAC" w:rsidP="00163EAC">
      <w:pPr>
        <w:jc w:val="both"/>
        <w:rPr>
          <w:rFonts w:ascii="Arial" w:hAnsi="Arial" w:cs="Arial"/>
          <w:color w:val="000000"/>
          <w:sz w:val="20"/>
          <w:szCs w:val="20"/>
          <w:lang w:val="es-MX"/>
        </w:rPr>
      </w:pPr>
      <w:r w:rsidRPr="00E10B55">
        <w:rPr>
          <w:rFonts w:ascii="Arial" w:hAnsi="Arial" w:cs="Arial"/>
          <w:i/>
          <w:color w:val="000000"/>
          <w:sz w:val="20"/>
          <w:szCs w:val="20"/>
          <w:lang w:val="es-MX"/>
        </w:rPr>
        <w:tab/>
        <w:t xml:space="preserve">c) </w:t>
      </w:r>
      <w:r w:rsidRPr="00E10B55">
        <w:rPr>
          <w:rFonts w:ascii="Arial" w:hAnsi="Arial" w:cs="Arial"/>
          <w:i/>
          <w:color w:val="000000"/>
          <w:sz w:val="20"/>
          <w:szCs w:val="20"/>
          <w:lang w:val="es-MX"/>
        </w:rPr>
        <w:tab/>
        <w:t>Otras constancias, por cada una de ellas</w:t>
      </w:r>
      <w:r w:rsidRPr="00E10B55">
        <w:rPr>
          <w:rFonts w:ascii="Arial" w:hAnsi="Arial" w:cs="Arial"/>
          <w:color w:val="000000"/>
          <w:sz w:val="20"/>
          <w:szCs w:val="20"/>
          <w:lang w:val="es-MX"/>
        </w:rPr>
        <w:t>»</w:t>
      </w:r>
    </w:p>
    <w:p w:rsidR="00163EAC" w:rsidRPr="00E10B55" w:rsidRDefault="00163EAC" w:rsidP="00163EAC">
      <w:pPr>
        <w:jc w:val="both"/>
        <w:rPr>
          <w:rFonts w:ascii="Arial" w:hAnsi="Arial" w:cs="Arial"/>
          <w:color w:val="000000"/>
          <w:sz w:val="20"/>
          <w:szCs w:val="20"/>
          <w:lang w:val="es-MX"/>
        </w:rPr>
      </w:pPr>
    </w:p>
    <w:p w:rsidR="00163EAC" w:rsidRPr="00E10B55" w:rsidRDefault="00163EAC" w:rsidP="00163EAC">
      <w:pPr>
        <w:jc w:val="both"/>
        <w:rPr>
          <w:rFonts w:ascii="Arial" w:hAnsi="Arial" w:cs="Arial"/>
          <w:color w:val="000000"/>
          <w:sz w:val="20"/>
          <w:szCs w:val="20"/>
          <w:lang w:val="es-MX"/>
        </w:rPr>
      </w:pPr>
    </w:p>
    <w:p w:rsidR="00163EAC" w:rsidRPr="00E10B55" w:rsidRDefault="00163EAC" w:rsidP="00163EAC">
      <w:pPr>
        <w:jc w:val="both"/>
        <w:rPr>
          <w:rFonts w:ascii="Arial" w:hAnsi="Arial" w:cs="Arial"/>
          <w:color w:val="000000"/>
          <w:sz w:val="20"/>
          <w:szCs w:val="20"/>
          <w:lang w:val="es-MX"/>
        </w:rPr>
      </w:pPr>
      <w:r w:rsidRPr="00E10B55">
        <w:rPr>
          <w:rFonts w:ascii="Arial" w:hAnsi="Arial" w:cs="Arial"/>
          <w:color w:val="000000"/>
          <w:sz w:val="20"/>
          <w:szCs w:val="20"/>
          <w:lang w:val="es-MX"/>
        </w:rPr>
        <w:t xml:space="preserve">La disponibilidad financiera acumulada al </w:t>
      </w:r>
      <w:r>
        <w:rPr>
          <w:rFonts w:ascii="Arial" w:hAnsi="Arial" w:cs="Arial"/>
          <w:color w:val="000000"/>
          <w:sz w:val="20"/>
          <w:szCs w:val="20"/>
          <w:lang w:val="es-MX"/>
        </w:rPr>
        <w:t>primer</w:t>
      </w:r>
      <w:r w:rsidRPr="00E10B55">
        <w:rPr>
          <w:rFonts w:ascii="Arial" w:hAnsi="Arial" w:cs="Arial"/>
          <w:color w:val="000000"/>
          <w:sz w:val="20"/>
          <w:szCs w:val="20"/>
          <w:lang w:val="es-MX"/>
        </w:rPr>
        <w:t xml:space="preserve"> trimestre es de </w:t>
      </w:r>
      <w:r>
        <w:rPr>
          <w:rFonts w:ascii="Arial" w:hAnsi="Arial" w:cs="Arial"/>
          <w:color w:val="000000"/>
          <w:sz w:val="20"/>
          <w:szCs w:val="20"/>
          <w:lang w:val="es-MX"/>
        </w:rPr>
        <w:t>47</w:t>
      </w:r>
      <w:r w:rsidRPr="00E10B55">
        <w:rPr>
          <w:rFonts w:ascii="Arial" w:hAnsi="Arial" w:cs="Arial"/>
          <w:color w:val="000000"/>
          <w:sz w:val="20"/>
          <w:szCs w:val="20"/>
          <w:lang w:val="es-MX"/>
        </w:rPr>
        <w:t xml:space="preserve"> millones </w:t>
      </w:r>
      <w:r>
        <w:rPr>
          <w:rFonts w:ascii="Arial" w:hAnsi="Arial" w:cs="Arial"/>
          <w:color w:val="000000"/>
          <w:sz w:val="20"/>
          <w:szCs w:val="20"/>
          <w:lang w:val="es-MX"/>
        </w:rPr>
        <w:t>184</w:t>
      </w:r>
      <w:r w:rsidRPr="00E10B55">
        <w:rPr>
          <w:rFonts w:ascii="Arial" w:hAnsi="Arial" w:cs="Arial"/>
          <w:color w:val="000000"/>
          <w:sz w:val="20"/>
          <w:szCs w:val="20"/>
          <w:lang w:val="es-MX"/>
        </w:rPr>
        <w:t xml:space="preserve"> mil </w:t>
      </w:r>
      <w:r>
        <w:rPr>
          <w:rFonts w:ascii="Arial" w:hAnsi="Arial" w:cs="Arial"/>
          <w:color w:val="000000"/>
          <w:sz w:val="20"/>
          <w:szCs w:val="20"/>
          <w:lang w:val="es-MX"/>
        </w:rPr>
        <w:t>482 pesos, que incluyen l</w:t>
      </w:r>
      <w:r w:rsidRPr="00E10B55">
        <w:rPr>
          <w:rFonts w:ascii="Arial" w:hAnsi="Arial" w:cs="Arial"/>
          <w:color w:val="000000"/>
          <w:sz w:val="20"/>
          <w:szCs w:val="20"/>
          <w:lang w:val="es-MX"/>
        </w:rPr>
        <w:t xml:space="preserve">os productos financieros </w:t>
      </w:r>
      <w:r>
        <w:rPr>
          <w:rFonts w:ascii="Arial" w:hAnsi="Arial" w:cs="Arial"/>
          <w:color w:val="000000"/>
          <w:sz w:val="20"/>
          <w:szCs w:val="20"/>
          <w:lang w:val="es-MX"/>
        </w:rPr>
        <w:t>de</w:t>
      </w:r>
      <w:r w:rsidRPr="00E10B55">
        <w:rPr>
          <w:rFonts w:ascii="Arial" w:hAnsi="Arial" w:cs="Arial"/>
          <w:color w:val="000000"/>
          <w:sz w:val="20"/>
          <w:szCs w:val="20"/>
          <w:lang w:val="es-MX"/>
        </w:rPr>
        <w:t xml:space="preserve">l periodo </w:t>
      </w:r>
      <w:r>
        <w:rPr>
          <w:rFonts w:ascii="Arial" w:hAnsi="Arial" w:cs="Arial"/>
          <w:color w:val="000000"/>
          <w:sz w:val="20"/>
          <w:szCs w:val="20"/>
          <w:lang w:val="es-MX"/>
        </w:rPr>
        <w:t>que ascienden a 381 mil 397 pesos.</w:t>
      </w:r>
    </w:p>
    <w:p w:rsidR="00163EAC" w:rsidRPr="00E10B55" w:rsidRDefault="00163EAC" w:rsidP="00163EAC">
      <w:pPr>
        <w:jc w:val="both"/>
        <w:rPr>
          <w:rFonts w:ascii="Arial" w:hAnsi="Arial" w:cs="Arial"/>
          <w:color w:val="000000"/>
          <w:sz w:val="20"/>
          <w:szCs w:val="20"/>
          <w:lang w:val="es-MX"/>
        </w:rPr>
      </w:pPr>
    </w:p>
    <w:p w:rsidR="00C76527" w:rsidRPr="00163EAC" w:rsidRDefault="00163EAC" w:rsidP="00163EAC">
      <w:pPr>
        <w:tabs>
          <w:tab w:val="left" w:pos="180"/>
        </w:tabs>
        <w:autoSpaceDE w:val="0"/>
        <w:autoSpaceDN w:val="0"/>
        <w:adjustRightInd w:val="0"/>
        <w:jc w:val="both"/>
        <w:rPr>
          <w:rFonts w:ascii="Arial" w:hAnsi="Arial" w:cs="Arial"/>
          <w:sz w:val="20"/>
          <w:szCs w:val="20"/>
        </w:rPr>
      </w:pPr>
      <w:r w:rsidRPr="00E10B55">
        <w:rPr>
          <w:rFonts w:ascii="Arial" w:hAnsi="Arial" w:cs="Arial"/>
          <w:sz w:val="20"/>
          <w:szCs w:val="20"/>
        </w:rPr>
        <w:t xml:space="preserve">En el </w:t>
      </w:r>
      <w:r>
        <w:rPr>
          <w:rFonts w:ascii="Arial" w:hAnsi="Arial" w:cs="Arial"/>
          <w:sz w:val="20"/>
          <w:szCs w:val="20"/>
        </w:rPr>
        <w:t>primer</w:t>
      </w:r>
      <w:r w:rsidRPr="00E10B55">
        <w:rPr>
          <w:rFonts w:ascii="Arial" w:hAnsi="Arial" w:cs="Arial"/>
          <w:sz w:val="20"/>
          <w:szCs w:val="20"/>
        </w:rPr>
        <w:t xml:space="preserve"> trimestre de 201</w:t>
      </w:r>
      <w:r>
        <w:rPr>
          <w:rFonts w:ascii="Arial" w:hAnsi="Arial" w:cs="Arial"/>
          <w:sz w:val="20"/>
          <w:szCs w:val="20"/>
        </w:rPr>
        <w:t>6</w:t>
      </w:r>
      <w:r w:rsidRPr="00E10B55">
        <w:rPr>
          <w:rFonts w:ascii="Arial" w:hAnsi="Arial" w:cs="Arial"/>
          <w:sz w:val="20"/>
          <w:szCs w:val="20"/>
        </w:rPr>
        <w:t>, no se erogaron recursos.</w:t>
      </w:r>
    </w:p>
    <w:sectPr w:rsidR="00C76527" w:rsidRPr="00163EAC" w:rsidSect="00D65355">
      <w:headerReference w:type="even" r:id="rId8"/>
      <w:headerReference w:type="default" r:id="rId9"/>
      <w:footerReference w:type="even" r:id="rId10"/>
      <w:footerReference w:type="default" r:id="rId11"/>
      <w:pgSz w:w="15840" w:h="12240" w:orient="landscape"/>
      <w:pgMar w:top="1531" w:right="1077" w:bottom="1077" w:left="1077"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00" w:rsidRDefault="00A92B00" w:rsidP="00EA5418">
      <w:r>
        <w:separator/>
      </w:r>
    </w:p>
  </w:endnote>
  <w:endnote w:type="continuationSeparator" w:id="0">
    <w:p w:rsidR="00A92B00" w:rsidRDefault="00A92B00"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1E3B9D" w:rsidRDefault="00D65355" w:rsidP="0013011C">
    <w:pPr>
      <w:pStyle w:val="Piedepgina"/>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pict>
        <v:line id="_x0000_s4125" style="position:absolute;left:0;text-align:left;flip:y;z-index:251675648;visibility:visible;mso-width-relative:margin" from="-53.25pt,-2.55pt" to="736.5pt,-2.55pt" strokecolor="#4579b8 [3044]" strokeweight="1.5pt"/>
      </w:pict>
    </w:r>
    <w:r w:rsidR="006B16E7">
      <w:rPr>
        <w:rFonts w:ascii="Arial" w:hAnsi="Arial" w:cs="Arial"/>
        <w:color w:val="808080" w:themeColor="background1" w:themeShade="80"/>
        <w:sz w:val="20"/>
        <w:szCs w:val="20"/>
      </w:rPr>
      <w:t>Anexos</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B1387B"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B1387B"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22</w:t>
        </w:r>
        <w:r w:rsidR="00B1387B"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584484" w:rsidRDefault="00D65355"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_x0000_s4123" style="position:absolute;left:0;text-align:left;flip:y;z-index:251673600;visibility:visible;mso-width-relative:margin" from="-53.25pt,-2.55pt" to="736.5pt,-2.55pt" strokecolor="#4579b8 [3044]" strokeweight="1.5pt"/>
      </w:pic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1A05C7">
          <w:rPr>
            <w:rFonts w:ascii="Arial" w:hAnsi="Arial" w:cs="Arial"/>
            <w:color w:val="808080" w:themeColor="background1" w:themeShade="80"/>
            <w:sz w:val="20"/>
            <w:szCs w:val="20"/>
          </w:rPr>
          <w:t>Anexos</w:t>
        </w:r>
        <w:r w:rsidR="00C2252C" w:rsidRPr="00584484">
          <w:rPr>
            <w:rFonts w:ascii="Arial" w:hAnsi="Arial" w:cs="Arial"/>
            <w:color w:val="808080" w:themeColor="background1" w:themeShade="80"/>
            <w:sz w:val="20"/>
            <w:szCs w:val="20"/>
          </w:rPr>
          <w:t xml:space="preserve"> / </w:t>
        </w:r>
        <w:r w:rsidR="00B1387B"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B1387B"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21</w:t>
        </w:r>
        <w:r w:rsidR="00B1387B"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00" w:rsidRDefault="00A92B00" w:rsidP="00EA5418">
      <w:r>
        <w:separator/>
      </w:r>
    </w:p>
  </w:footnote>
  <w:footnote w:type="continuationSeparator" w:id="0">
    <w:p w:rsidR="00A92B00" w:rsidRDefault="00A92B00"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Default="00D65355" w:rsidP="00662E1A">
    <w:pPr>
      <w:pStyle w:val="Encabezado"/>
      <w:tabs>
        <w:tab w:val="clear" w:pos="4419"/>
        <w:tab w:val="clear" w:pos="8838"/>
        <w:tab w:val="left" w:pos="7961"/>
      </w:tabs>
    </w:pPr>
    <w:r>
      <w:rPr>
        <w:rFonts w:ascii="Soberana Sans Light" w:hAnsi="Soberana Sans Light"/>
        <w:noProof/>
        <w:lang w:eastAsia="es-MX"/>
      </w:rPr>
      <w:pict>
        <v:line id="4 Conector recto" o:spid="_x0000_s4100" style="position:absolute;flip:y;z-index:251663360;visibility:visible;mso-width-relative:margin" from="-53.25pt,16.6pt" to="736.5pt,16.6pt" strokecolor="#4579b8" strokeweight="1.5pt"/>
      </w:pict>
    </w:r>
    <w:r>
      <w:rPr>
        <w:rFonts w:ascii="Soberana Sans Light" w:hAnsi="Soberana Sans Light"/>
        <w:noProof/>
        <w:lang w:eastAsia="es-MX"/>
      </w:rPr>
      <w:pict>
        <v:shapetype id="_x0000_t202" coordsize="21600,21600" o:spt="202" path="m,l,21600r21600,l21600,xe">
          <v:stroke joinstyle="miter"/>
          <v:path gradientshapeok="t" o:connecttype="rect"/>
        </v:shapetype>
        <v:shape id="Cuadro de texto 18" o:spid="_x0000_s4116" type="#_x0000_t202" style="position:absolute;margin-left:366.9pt;margin-top:-16.35pt;width:66.05pt;height:2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" stroked="f">
          <v:textbox style="mso-next-textbox:#Cuadro de texto 18">
            <w:txbxContent>
              <w:p w:rsidR="00C2252C" w:rsidRPr="00E9097D" w:rsidRDefault="00C2252C"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1A05C7">
                  <w:rPr>
                    <w:rFonts w:ascii="Arial" w:hAnsi="Arial" w:cs="Arial"/>
                    <w:color w:val="808080" w:themeColor="background1" w:themeShade="80"/>
                    <w:sz w:val="32"/>
                    <w:szCs w:val="32"/>
                  </w:rPr>
                  <w:t>6</w:t>
                </w:r>
              </w:p>
            </w:txbxContent>
          </v:textbox>
        </v:shape>
      </w:pict>
    </w:r>
    <w:r>
      <w:rPr>
        <w:rFonts w:ascii="Soberana Sans Light" w:hAnsi="Soberana Sans Light"/>
        <w:noProof/>
        <w:lang w:eastAsia="es-MX"/>
      </w:rPr>
      <w:pict>
        <v:shape id="Cuadro de texto 17" o:spid="_x0000_s4117" type="#_x0000_t202" style="position:absolute;margin-left:153.05pt;margin-top:-21.85pt;width:217.9pt;height:3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" stroked="f">
          <v:textbox style="mso-next-textbox:#Cuadro de texto 17">
            <w:txbxContent>
              <w:p w:rsidR="00C2252C" w:rsidRPr="00584484"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rsidR="00C2252C" w:rsidRPr="00410C0A" w:rsidRDefault="00C2252C"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B16297"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p w:rsidR="00C2252C" w:rsidRPr="00584484"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w:t>
                </w:r>
                <w:r w:rsidR="00C2252C" w:rsidRPr="00584484">
                  <w:rPr>
                    <w:rFonts w:ascii="Arial" w:hAnsi="Arial" w:cs="Arial"/>
                    <w:color w:val="808080" w:themeColor="background1" w:themeShade="80"/>
                    <w:sz w:val="20"/>
                    <w:szCs w:val="20"/>
                  </w:rPr>
                  <w:t>GUANAJUATO</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7D16CA" w:rsidRDefault="00D65355"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w:pict>
        <v:line id="_x0000_s4124" style="position:absolute;left:0;text-align:left;flip:y;z-index:251674624;visibility:visible;mso-width-relative:margin" from="-53.85pt,16.8pt" to="738.7pt,16.8pt" strokecolor="#4579b8 [3044]" strokeweight="1.5pt"/>
      </w:pict>
    </w:r>
    <w:r w:rsidR="00C2252C" w:rsidRPr="007D16CA">
      <w:rPr>
        <w:rFonts w:ascii="Arial" w:hAnsi="Arial" w:cs="Arial"/>
        <w:color w:val="808080" w:themeColor="background1" w:themeShade="80"/>
        <w:sz w:val="20"/>
        <w:szCs w:val="20"/>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12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241"/>
    <w:rsid w:val="00031801"/>
    <w:rsid w:val="000355E9"/>
    <w:rsid w:val="00040466"/>
    <w:rsid w:val="0004218E"/>
    <w:rsid w:val="00051ECA"/>
    <w:rsid w:val="00056042"/>
    <w:rsid w:val="00062DBE"/>
    <w:rsid w:val="000963D2"/>
    <w:rsid w:val="000B3C7C"/>
    <w:rsid w:val="000C4654"/>
    <w:rsid w:val="0010245D"/>
    <w:rsid w:val="00107A57"/>
    <w:rsid w:val="00120FC0"/>
    <w:rsid w:val="00121C91"/>
    <w:rsid w:val="00126634"/>
    <w:rsid w:val="0013011C"/>
    <w:rsid w:val="00136010"/>
    <w:rsid w:val="001439FE"/>
    <w:rsid w:val="00163EAC"/>
    <w:rsid w:val="001646D9"/>
    <w:rsid w:val="00165BF7"/>
    <w:rsid w:val="00184B82"/>
    <w:rsid w:val="001853A4"/>
    <w:rsid w:val="001A05C7"/>
    <w:rsid w:val="001B0D37"/>
    <w:rsid w:val="001B0EC5"/>
    <w:rsid w:val="001B1B72"/>
    <w:rsid w:val="001D36FA"/>
    <w:rsid w:val="001E0675"/>
    <w:rsid w:val="001E3B9D"/>
    <w:rsid w:val="001E7F9E"/>
    <w:rsid w:val="002073FD"/>
    <w:rsid w:val="00217EA0"/>
    <w:rsid w:val="0026216E"/>
    <w:rsid w:val="0026488C"/>
    <w:rsid w:val="0028780C"/>
    <w:rsid w:val="002906E8"/>
    <w:rsid w:val="002A70B3"/>
    <w:rsid w:val="002B6BA9"/>
    <w:rsid w:val="002E3600"/>
    <w:rsid w:val="002E7A4E"/>
    <w:rsid w:val="00300A8C"/>
    <w:rsid w:val="00307635"/>
    <w:rsid w:val="0032547C"/>
    <w:rsid w:val="00355821"/>
    <w:rsid w:val="003610E0"/>
    <w:rsid w:val="00372F40"/>
    <w:rsid w:val="003A0375"/>
    <w:rsid w:val="003A05A1"/>
    <w:rsid w:val="003D5DBF"/>
    <w:rsid w:val="003E7FD0"/>
    <w:rsid w:val="00410AF3"/>
    <w:rsid w:val="00410C0A"/>
    <w:rsid w:val="00412705"/>
    <w:rsid w:val="00414245"/>
    <w:rsid w:val="00417817"/>
    <w:rsid w:val="00426E16"/>
    <w:rsid w:val="0044253C"/>
    <w:rsid w:val="00442BD3"/>
    <w:rsid w:val="004437A5"/>
    <w:rsid w:val="0047223C"/>
    <w:rsid w:val="00481BB6"/>
    <w:rsid w:val="00486AE1"/>
    <w:rsid w:val="004915D1"/>
    <w:rsid w:val="00495751"/>
    <w:rsid w:val="00497D8B"/>
    <w:rsid w:val="004B01D6"/>
    <w:rsid w:val="004B284E"/>
    <w:rsid w:val="004B44B9"/>
    <w:rsid w:val="004D41B8"/>
    <w:rsid w:val="004F09C0"/>
    <w:rsid w:val="004F29CC"/>
    <w:rsid w:val="00502D8E"/>
    <w:rsid w:val="00506351"/>
    <w:rsid w:val="005117F4"/>
    <w:rsid w:val="00522632"/>
    <w:rsid w:val="00524746"/>
    <w:rsid w:val="00531310"/>
    <w:rsid w:val="00534982"/>
    <w:rsid w:val="00540418"/>
    <w:rsid w:val="005706D9"/>
    <w:rsid w:val="00582405"/>
    <w:rsid w:val="00584484"/>
    <w:rsid w:val="005855FA"/>
    <w:rsid w:val="005859FA"/>
    <w:rsid w:val="00596CFC"/>
    <w:rsid w:val="005B1D10"/>
    <w:rsid w:val="005B6522"/>
    <w:rsid w:val="005F38CB"/>
    <w:rsid w:val="006046CA"/>
    <w:rsid w:val="006048D2"/>
    <w:rsid w:val="00611E39"/>
    <w:rsid w:val="006133D2"/>
    <w:rsid w:val="00617686"/>
    <w:rsid w:val="00620E8D"/>
    <w:rsid w:val="00624AF0"/>
    <w:rsid w:val="00633237"/>
    <w:rsid w:val="00640E11"/>
    <w:rsid w:val="0064108E"/>
    <w:rsid w:val="00661772"/>
    <w:rsid w:val="00662E1A"/>
    <w:rsid w:val="00665222"/>
    <w:rsid w:val="006668AF"/>
    <w:rsid w:val="00676D1E"/>
    <w:rsid w:val="006A5527"/>
    <w:rsid w:val="006A605D"/>
    <w:rsid w:val="006B16E7"/>
    <w:rsid w:val="006B729B"/>
    <w:rsid w:val="006C03CB"/>
    <w:rsid w:val="006D350A"/>
    <w:rsid w:val="006E6B8E"/>
    <w:rsid w:val="006E77DD"/>
    <w:rsid w:val="006F6105"/>
    <w:rsid w:val="00716D8F"/>
    <w:rsid w:val="00735C8C"/>
    <w:rsid w:val="007415E8"/>
    <w:rsid w:val="0074343E"/>
    <w:rsid w:val="007757E0"/>
    <w:rsid w:val="0078139D"/>
    <w:rsid w:val="00794F06"/>
    <w:rsid w:val="0079582C"/>
    <w:rsid w:val="007B1A84"/>
    <w:rsid w:val="007B4655"/>
    <w:rsid w:val="007C33A9"/>
    <w:rsid w:val="007D16CA"/>
    <w:rsid w:val="007D31BE"/>
    <w:rsid w:val="007D6E9A"/>
    <w:rsid w:val="00802567"/>
    <w:rsid w:val="0080591B"/>
    <w:rsid w:val="00811857"/>
    <w:rsid w:val="00816BF6"/>
    <w:rsid w:val="008A6E4D"/>
    <w:rsid w:val="008B0017"/>
    <w:rsid w:val="008B6109"/>
    <w:rsid w:val="008C1C70"/>
    <w:rsid w:val="008D4272"/>
    <w:rsid w:val="008E3652"/>
    <w:rsid w:val="008E38D7"/>
    <w:rsid w:val="008F2BC9"/>
    <w:rsid w:val="009133A2"/>
    <w:rsid w:val="009206EA"/>
    <w:rsid w:val="009271CB"/>
    <w:rsid w:val="00956F64"/>
    <w:rsid w:val="0096474B"/>
    <w:rsid w:val="00976B3A"/>
    <w:rsid w:val="0099048E"/>
    <w:rsid w:val="009909AB"/>
    <w:rsid w:val="009C1CD1"/>
    <w:rsid w:val="009C47DB"/>
    <w:rsid w:val="009C721E"/>
    <w:rsid w:val="009F1266"/>
    <w:rsid w:val="00A0752F"/>
    <w:rsid w:val="00A14B74"/>
    <w:rsid w:val="00A16E67"/>
    <w:rsid w:val="00A50B13"/>
    <w:rsid w:val="00A51FB6"/>
    <w:rsid w:val="00A83BD1"/>
    <w:rsid w:val="00A911BD"/>
    <w:rsid w:val="00A92B00"/>
    <w:rsid w:val="00AA5F6B"/>
    <w:rsid w:val="00AB13B7"/>
    <w:rsid w:val="00AD0E70"/>
    <w:rsid w:val="00AD1576"/>
    <w:rsid w:val="00AD42C4"/>
    <w:rsid w:val="00AD4901"/>
    <w:rsid w:val="00AD7E1C"/>
    <w:rsid w:val="00AE0C4F"/>
    <w:rsid w:val="00AE2230"/>
    <w:rsid w:val="00AE5EA4"/>
    <w:rsid w:val="00AE74C5"/>
    <w:rsid w:val="00B1387B"/>
    <w:rsid w:val="00B16297"/>
    <w:rsid w:val="00B17423"/>
    <w:rsid w:val="00B42A02"/>
    <w:rsid w:val="00B42BF0"/>
    <w:rsid w:val="00B61B23"/>
    <w:rsid w:val="00B65FA7"/>
    <w:rsid w:val="00B72E45"/>
    <w:rsid w:val="00B849EE"/>
    <w:rsid w:val="00B93254"/>
    <w:rsid w:val="00BA5834"/>
    <w:rsid w:val="00BA602C"/>
    <w:rsid w:val="00BB6926"/>
    <w:rsid w:val="00BB6BB8"/>
    <w:rsid w:val="00BC11BA"/>
    <w:rsid w:val="00BE286C"/>
    <w:rsid w:val="00C2252C"/>
    <w:rsid w:val="00C22F80"/>
    <w:rsid w:val="00C269AE"/>
    <w:rsid w:val="00C31117"/>
    <w:rsid w:val="00C345E8"/>
    <w:rsid w:val="00C44F01"/>
    <w:rsid w:val="00C76527"/>
    <w:rsid w:val="00C929C8"/>
    <w:rsid w:val="00C95417"/>
    <w:rsid w:val="00CA2D37"/>
    <w:rsid w:val="00CB4256"/>
    <w:rsid w:val="00CC2455"/>
    <w:rsid w:val="00CC5CB6"/>
    <w:rsid w:val="00CD7442"/>
    <w:rsid w:val="00CF4CA7"/>
    <w:rsid w:val="00CF50CB"/>
    <w:rsid w:val="00D055EC"/>
    <w:rsid w:val="00D13436"/>
    <w:rsid w:val="00D154BE"/>
    <w:rsid w:val="00D234DC"/>
    <w:rsid w:val="00D325BD"/>
    <w:rsid w:val="00D404ED"/>
    <w:rsid w:val="00D51261"/>
    <w:rsid w:val="00D60191"/>
    <w:rsid w:val="00D65355"/>
    <w:rsid w:val="00D748D3"/>
    <w:rsid w:val="00D94661"/>
    <w:rsid w:val="00DA1A4B"/>
    <w:rsid w:val="00DB4299"/>
    <w:rsid w:val="00DD075D"/>
    <w:rsid w:val="00DD230F"/>
    <w:rsid w:val="00DD7E3C"/>
    <w:rsid w:val="00DF3AD2"/>
    <w:rsid w:val="00DF77EA"/>
    <w:rsid w:val="00E05FFB"/>
    <w:rsid w:val="00E1150D"/>
    <w:rsid w:val="00E11D83"/>
    <w:rsid w:val="00E13FEA"/>
    <w:rsid w:val="00E32708"/>
    <w:rsid w:val="00E74945"/>
    <w:rsid w:val="00E86919"/>
    <w:rsid w:val="00E9097D"/>
    <w:rsid w:val="00EA5418"/>
    <w:rsid w:val="00EB1F1F"/>
    <w:rsid w:val="00EC4315"/>
    <w:rsid w:val="00ED67E0"/>
    <w:rsid w:val="00ED7A80"/>
    <w:rsid w:val="00F02128"/>
    <w:rsid w:val="00F04A31"/>
    <w:rsid w:val="00F17883"/>
    <w:rsid w:val="00F2569F"/>
    <w:rsid w:val="00F75E8F"/>
    <w:rsid w:val="00F94A6A"/>
    <w:rsid w:val="00F96944"/>
    <w:rsid w:val="00FA562A"/>
    <w:rsid w:val="00FA56C7"/>
    <w:rsid w:val="00FC4656"/>
    <w:rsid w:val="00FD63EF"/>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27"/>
    <o:shapelayout v:ext="edit">
      <o:idmap v:ext="edit" data="1"/>
    </o:shapelayout>
  </w:shapeDefaults>
  <w:decimalSymbol w:val="."/>
  <w:listSeparator w:val=","/>
  <w15:docId w15:val="{0C34A233-3F2A-4B15-8220-D0D65A71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Puesto">
    <w:name w:val="Title"/>
    <w:basedOn w:val="Normal"/>
    <w:link w:val="PuestoCar"/>
    <w:uiPriority w:val="99"/>
    <w:qFormat/>
    <w:rsid w:val="00184B82"/>
    <w:pPr>
      <w:jc w:val="center"/>
    </w:pPr>
    <w:rPr>
      <w:rFonts w:ascii="Helvetica" w:hAnsi="Helvetica"/>
      <w:b/>
      <w:bCs/>
      <w:sz w:val="28"/>
    </w:rPr>
  </w:style>
  <w:style w:type="character" w:customStyle="1" w:styleId="PuestoCar">
    <w:name w:val="Puesto Car"/>
    <w:basedOn w:val="Fuentedeprrafopredeter"/>
    <w:link w:val="Puest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C27B-BB30-4E79-AD2C-031C3781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Vico</cp:lastModifiedBy>
  <cp:revision>3</cp:revision>
  <cp:lastPrinted>2016-02-25T20:48:00Z</cp:lastPrinted>
  <dcterms:created xsi:type="dcterms:W3CDTF">2016-04-25T15:17:00Z</dcterms:created>
  <dcterms:modified xsi:type="dcterms:W3CDTF">2016-04-26T01:20:00Z</dcterms:modified>
</cp:coreProperties>
</file>