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BC" w:rsidRPr="00D3760D" w:rsidRDefault="00BE1ABC" w:rsidP="00BE1ABC">
      <w:pPr>
        <w:jc w:val="center"/>
        <w:rPr>
          <w:rFonts w:ascii="Arial" w:hAnsi="Arial" w:cs="Arial"/>
          <w:b/>
          <w:color w:val="365F91" w:themeColor="accent1" w:themeShade="BF"/>
          <w:sz w:val="20"/>
          <w:szCs w:val="20"/>
          <w:lang w:val="es-MX"/>
        </w:rPr>
      </w:pPr>
      <w:bookmarkStart w:id="0" w:name="_GoBack"/>
      <w:bookmarkEnd w:id="0"/>
      <w:r w:rsidRPr="00D3760D">
        <w:rPr>
          <w:rFonts w:ascii="Arial" w:hAnsi="Arial" w:cs="Arial"/>
          <w:b/>
          <w:color w:val="365F91" w:themeColor="accent1" w:themeShade="BF"/>
          <w:sz w:val="20"/>
          <w:szCs w:val="20"/>
          <w:lang w:val="es-MX"/>
        </w:rPr>
        <w:t>Fondo de Atención y Apoyo a la Víctima y al Ofendido del Delito en el Estado de Guanajuato</w:t>
      </w:r>
    </w:p>
    <w:p w:rsidR="00BE1ABC" w:rsidRPr="00D3760D" w:rsidRDefault="00BE1ABC" w:rsidP="00BE1ABC">
      <w:pPr>
        <w:tabs>
          <w:tab w:val="left" w:pos="180"/>
        </w:tabs>
        <w:autoSpaceDE w:val="0"/>
        <w:autoSpaceDN w:val="0"/>
        <w:adjustRightInd w:val="0"/>
        <w:jc w:val="both"/>
        <w:rPr>
          <w:rFonts w:ascii="Arial" w:hAnsi="Arial" w:cs="Arial"/>
          <w:color w:val="000000"/>
          <w:sz w:val="20"/>
          <w:szCs w:val="20"/>
          <w:lang w:val="es-MX"/>
        </w:rPr>
      </w:pPr>
    </w:p>
    <w:p w:rsidR="00BE1ABC" w:rsidRPr="00D3760D" w:rsidRDefault="00BE1ABC" w:rsidP="00BE1ABC">
      <w:pPr>
        <w:tabs>
          <w:tab w:val="left" w:pos="180"/>
        </w:tabs>
        <w:autoSpaceDE w:val="0"/>
        <w:autoSpaceDN w:val="0"/>
        <w:adjustRightInd w:val="0"/>
        <w:jc w:val="both"/>
        <w:rPr>
          <w:rFonts w:ascii="Arial" w:hAnsi="Arial" w:cs="Arial"/>
          <w:color w:val="000000"/>
          <w:sz w:val="20"/>
          <w:szCs w:val="20"/>
          <w:lang w:val="es-MX"/>
        </w:rPr>
      </w:pPr>
    </w:p>
    <w:p w:rsidR="00BE1ABC" w:rsidRPr="00D3760D" w:rsidRDefault="00BE1ABC" w:rsidP="00BE1ABC">
      <w:pPr>
        <w:tabs>
          <w:tab w:val="left" w:pos="180"/>
        </w:tabs>
        <w:autoSpaceDE w:val="0"/>
        <w:autoSpaceDN w:val="0"/>
        <w:adjustRightInd w:val="0"/>
        <w:jc w:val="both"/>
        <w:rPr>
          <w:rFonts w:ascii="Arial" w:hAnsi="Arial" w:cs="Arial"/>
          <w:color w:val="000000"/>
          <w:sz w:val="20"/>
          <w:szCs w:val="20"/>
        </w:rPr>
      </w:pPr>
      <w:r w:rsidRPr="00D3760D">
        <w:rPr>
          <w:rFonts w:ascii="Arial" w:hAnsi="Arial" w:cs="Arial"/>
          <w:color w:val="000000"/>
          <w:sz w:val="20"/>
          <w:szCs w:val="20"/>
          <w:lang w:val="es-MX"/>
        </w:rPr>
        <w:t>El</w:t>
      </w:r>
      <w:r w:rsidRPr="00D3760D">
        <w:rPr>
          <w:rFonts w:ascii="Arial" w:hAnsi="Arial" w:cs="Arial"/>
          <w:color w:val="000000"/>
          <w:sz w:val="20"/>
          <w:szCs w:val="20"/>
        </w:rPr>
        <w:t xml:space="preserve"> 30 de mayo de 2006, se publicó el Decreto Legislativo 268 expedido por la Quincuagésima Novena Legislatura Constitucional del Estado Libre y Soberano de Guanajuato, en el Periódico Oficial del Gobierno del Estado 86, en su tercera parte y mediante el cual es emitida la Ley de Atención y Apoyo a la Víctima y al Ofendido del Delito en el Estado de Guanajuato, asimismo mediante el Periódico Oficial 136 de fecha 25 de agosto de 2006 es emitido el Reglamento de la misma.</w:t>
      </w:r>
    </w:p>
    <w:p w:rsidR="00BE1ABC" w:rsidRPr="00D3760D" w:rsidRDefault="00BE1ABC" w:rsidP="00BE1ABC">
      <w:pPr>
        <w:tabs>
          <w:tab w:val="left" w:pos="180"/>
        </w:tabs>
        <w:autoSpaceDE w:val="0"/>
        <w:autoSpaceDN w:val="0"/>
        <w:adjustRightInd w:val="0"/>
        <w:jc w:val="both"/>
        <w:rPr>
          <w:rFonts w:ascii="Arial" w:hAnsi="Arial" w:cs="Arial"/>
          <w:color w:val="000000"/>
          <w:sz w:val="20"/>
          <w:szCs w:val="20"/>
        </w:rPr>
      </w:pPr>
    </w:p>
    <w:p w:rsidR="00BE1ABC" w:rsidRPr="00D3760D" w:rsidRDefault="00BE1ABC" w:rsidP="00BE1ABC">
      <w:pPr>
        <w:tabs>
          <w:tab w:val="left" w:pos="180"/>
        </w:tabs>
        <w:autoSpaceDE w:val="0"/>
        <w:autoSpaceDN w:val="0"/>
        <w:adjustRightInd w:val="0"/>
        <w:jc w:val="both"/>
        <w:rPr>
          <w:rFonts w:ascii="Arial" w:hAnsi="Arial" w:cs="Arial"/>
          <w:color w:val="000000"/>
          <w:sz w:val="20"/>
          <w:szCs w:val="20"/>
          <w:lang w:val="es-MX"/>
        </w:rPr>
      </w:pPr>
      <w:r w:rsidRPr="00D3760D">
        <w:rPr>
          <w:rFonts w:ascii="Arial" w:hAnsi="Arial" w:cs="Arial"/>
          <w:color w:val="000000"/>
          <w:sz w:val="20"/>
          <w:szCs w:val="20"/>
        </w:rPr>
        <w:t xml:space="preserve">Posteriormente </w:t>
      </w:r>
      <w:r w:rsidRPr="00D3760D">
        <w:rPr>
          <w:rFonts w:ascii="Arial" w:hAnsi="Arial" w:cs="Arial"/>
          <w:color w:val="000000"/>
          <w:sz w:val="20"/>
          <w:szCs w:val="20"/>
          <w:lang w:val="es-MX"/>
        </w:rPr>
        <w:t>se publica en el Periódico Oficial del Gobierno del Estado de Guanajuato, 128 segunda parte, de fecha 12 de Agosto de 2011, el Decreto 175, expedido por la Sexagésima Primera Legislatura Constitucional, mediante el cual se reforman, adicionan y derogan diversas disposiciones de la misma ley, y cuya vigencia es a partir del 1 de septiembre de 2011, según el texto del Artículo Primero Transitorio.</w:t>
      </w:r>
    </w:p>
    <w:p w:rsidR="00BE1ABC" w:rsidRPr="00D3760D" w:rsidRDefault="00BE1ABC" w:rsidP="00BE1ABC">
      <w:pPr>
        <w:tabs>
          <w:tab w:val="left" w:pos="180"/>
        </w:tabs>
        <w:autoSpaceDE w:val="0"/>
        <w:autoSpaceDN w:val="0"/>
        <w:adjustRightInd w:val="0"/>
        <w:jc w:val="both"/>
        <w:rPr>
          <w:rFonts w:ascii="Arial" w:hAnsi="Arial" w:cs="Arial"/>
          <w:color w:val="000000"/>
          <w:sz w:val="20"/>
          <w:szCs w:val="20"/>
          <w:lang w:val="es-MX"/>
        </w:rPr>
      </w:pPr>
    </w:p>
    <w:p w:rsidR="00BE1ABC" w:rsidRPr="00D3760D" w:rsidRDefault="00BE1ABC" w:rsidP="00BE1ABC">
      <w:pPr>
        <w:tabs>
          <w:tab w:val="left" w:pos="180"/>
        </w:tabs>
        <w:autoSpaceDE w:val="0"/>
        <w:autoSpaceDN w:val="0"/>
        <w:adjustRightInd w:val="0"/>
        <w:jc w:val="both"/>
        <w:rPr>
          <w:rFonts w:ascii="Arial" w:hAnsi="Arial" w:cs="Arial"/>
          <w:color w:val="000000"/>
          <w:sz w:val="20"/>
          <w:szCs w:val="20"/>
          <w:lang w:val="es-MX"/>
        </w:rPr>
      </w:pPr>
      <w:r w:rsidRPr="00D3760D">
        <w:rPr>
          <w:rFonts w:ascii="Arial" w:hAnsi="Arial" w:cs="Arial"/>
          <w:color w:val="000000"/>
          <w:sz w:val="20"/>
          <w:szCs w:val="20"/>
        </w:rPr>
        <w:t xml:space="preserve">Con fecha 7 de junio de 2013, </w:t>
      </w:r>
      <w:r w:rsidRPr="00D3760D">
        <w:rPr>
          <w:rFonts w:ascii="Arial" w:hAnsi="Arial" w:cs="Arial"/>
          <w:color w:val="000000"/>
          <w:sz w:val="20"/>
          <w:szCs w:val="20"/>
          <w:lang w:val="es-MX"/>
        </w:rPr>
        <w:t>se publica en el Periódico Oficial del Gobierno del Estado de Guanajuato 91 en su tercera parte, el Decreto 74, expedido por la Sexagésima Segunda Legislatura Constitucional del Estado Libre y Soberano de Guanajuato, mediante el cual se reforman, adicionan y derogan respectivamente diversas disposiciones a la misma ley, y cuya vigencia es a partir del 11 de junio de 2013, como lo indica el Artículo Primero Transitorio.</w:t>
      </w:r>
    </w:p>
    <w:p w:rsidR="00BE1ABC" w:rsidRPr="00D3760D" w:rsidRDefault="00BE1ABC" w:rsidP="00BE1ABC">
      <w:pPr>
        <w:jc w:val="both"/>
        <w:rPr>
          <w:rFonts w:ascii="Arial" w:hAnsi="Arial" w:cs="Arial"/>
          <w:color w:val="000000"/>
          <w:sz w:val="20"/>
          <w:szCs w:val="20"/>
          <w:lang w:val="es-MX"/>
        </w:rPr>
      </w:pPr>
    </w:p>
    <w:p w:rsidR="00BE1ABC" w:rsidRPr="00D3760D" w:rsidRDefault="00BE1ABC" w:rsidP="00BE1ABC">
      <w:pPr>
        <w:jc w:val="both"/>
        <w:rPr>
          <w:rFonts w:ascii="Arial" w:hAnsi="Arial" w:cs="Arial"/>
          <w:color w:val="000000"/>
          <w:sz w:val="20"/>
          <w:szCs w:val="20"/>
          <w:lang w:val="es-MX"/>
        </w:rPr>
      </w:pPr>
      <w:r w:rsidRPr="00D3760D">
        <w:rPr>
          <w:rFonts w:ascii="Arial" w:hAnsi="Arial" w:cs="Arial"/>
          <w:color w:val="000000"/>
          <w:sz w:val="20"/>
          <w:szCs w:val="20"/>
          <w:lang w:val="es-MX"/>
        </w:rPr>
        <w:t>El 26 de diciembre de 2014, la Sexagésima Segunda Legislatura Constitucional del Estado Libre y Soberano de Guanajuato, expide el decreto 266 mediante el cual se reforman y adicionan diversas disposiciones de la Ley, publicadas en el Periódico Oficial del Gobierno del Estado de Guanajuato 206 decima séptima parte, cuya vigencia será a partir al día siguiente a su publicación, tal como se indica en el Artículo Primero Transitorio.</w:t>
      </w:r>
    </w:p>
    <w:p w:rsidR="00BE1ABC" w:rsidRPr="00D3760D" w:rsidRDefault="00BE1ABC" w:rsidP="00BE1ABC">
      <w:pPr>
        <w:jc w:val="both"/>
        <w:rPr>
          <w:rFonts w:ascii="Arial" w:hAnsi="Arial" w:cs="Arial"/>
          <w:color w:val="000000"/>
          <w:sz w:val="20"/>
          <w:szCs w:val="20"/>
          <w:lang w:val="es-MX"/>
        </w:rPr>
      </w:pPr>
    </w:p>
    <w:p w:rsidR="00BE1ABC" w:rsidRDefault="00BE1ABC" w:rsidP="00BE1ABC">
      <w:pPr>
        <w:jc w:val="both"/>
        <w:rPr>
          <w:rFonts w:ascii="Arial" w:hAnsi="Arial" w:cs="Arial"/>
          <w:color w:val="000000"/>
          <w:sz w:val="20"/>
          <w:szCs w:val="20"/>
        </w:rPr>
      </w:pPr>
      <w:r w:rsidRPr="00D3760D">
        <w:rPr>
          <w:rFonts w:ascii="Arial" w:hAnsi="Arial" w:cs="Arial"/>
          <w:color w:val="000000"/>
          <w:sz w:val="20"/>
          <w:szCs w:val="20"/>
          <w:lang w:val="es-MX"/>
        </w:rPr>
        <w:t>Por</w:t>
      </w:r>
      <w:r w:rsidRPr="00D3760D">
        <w:rPr>
          <w:rFonts w:ascii="Arial" w:hAnsi="Arial" w:cs="Arial"/>
          <w:color w:val="000000"/>
          <w:sz w:val="20"/>
          <w:szCs w:val="20"/>
        </w:rPr>
        <w:t xml:space="preserve"> lo anterior, y en cumplimiento del Artículo Cuarto Transitorio de la misma ley, se informa la aplicación de los recursos dotados al Fondo de Operación del Programa</w:t>
      </w:r>
      <w:r>
        <w:rPr>
          <w:rFonts w:ascii="Arial" w:hAnsi="Arial" w:cs="Arial"/>
          <w:color w:val="000000"/>
          <w:sz w:val="20"/>
          <w:szCs w:val="20"/>
        </w:rPr>
        <w:t>.</w:t>
      </w:r>
    </w:p>
    <w:p w:rsidR="00BE1ABC" w:rsidRPr="00D3760D" w:rsidRDefault="00BE1ABC" w:rsidP="00BE1ABC">
      <w:pPr>
        <w:jc w:val="both"/>
        <w:rPr>
          <w:rFonts w:ascii="Arial" w:hAnsi="Arial" w:cs="Arial"/>
          <w:color w:val="000000"/>
          <w:sz w:val="20"/>
          <w:szCs w:val="20"/>
        </w:rPr>
      </w:pPr>
    </w:p>
    <w:p w:rsidR="00BE1ABC" w:rsidRPr="00D3760D" w:rsidRDefault="00BE1ABC" w:rsidP="00BE1ABC">
      <w:pPr>
        <w:tabs>
          <w:tab w:val="left" w:pos="180"/>
        </w:tabs>
        <w:autoSpaceDE w:val="0"/>
        <w:autoSpaceDN w:val="0"/>
        <w:adjustRightInd w:val="0"/>
        <w:jc w:val="both"/>
        <w:rPr>
          <w:rFonts w:ascii="Arial" w:hAnsi="Arial" w:cs="Arial"/>
          <w:sz w:val="20"/>
          <w:szCs w:val="20"/>
        </w:rPr>
      </w:pPr>
      <w:r w:rsidRPr="00D3760D">
        <w:rPr>
          <w:rFonts w:ascii="Arial" w:hAnsi="Arial" w:cs="Arial"/>
          <w:sz w:val="20"/>
          <w:szCs w:val="20"/>
        </w:rPr>
        <w:t xml:space="preserve">En el trimestre </w:t>
      </w:r>
      <w:r>
        <w:rPr>
          <w:rFonts w:ascii="Arial" w:hAnsi="Arial" w:cs="Arial"/>
          <w:sz w:val="20"/>
          <w:szCs w:val="20"/>
        </w:rPr>
        <w:t xml:space="preserve">enero-marzo </w:t>
      </w:r>
      <w:r w:rsidRPr="00D3760D">
        <w:rPr>
          <w:rFonts w:ascii="Arial" w:hAnsi="Arial" w:cs="Arial"/>
          <w:sz w:val="20"/>
          <w:szCs w:val="20"/>
        </w:rPr>
        <w:t>de 201</w:t>
      </w:r>
      <w:r>
        <w:rPr>
          <w:rFonts w:ascii="Arial" w:hAnsi="Arial" w:cs="Arial"/>
          <w:sz w:val="20"/>
          <w:szCs w:val="20"/>
        </w:rPr>
        <w:t>6</w:t>
      </w:r>
      <w:r w:rsidRPr="00D3760D">
        <w:rPr>
          <w:rFonts w:ascii="Arial" w:hAnsi="Arial" w:cs="Arial"/>
          <w:sz w:val="20"/>
          <w:szCs w:val="20"/>
        </w:rPr>
        <w:t>, se erogaron recursos por un</w:t>
      </w:r>
      <w:r>
        <w:rPr>
          <w:rFonts w:ascii="Arial" w:hAnsi="Arial" w:cs="Arial"/>
          <w:sz w:val="20"/>
          <w:szCs w:val="20"/>
        </w:rPr>
        <w:t xml:space="preserve"> total de 9</w:t>
      </w:r>
      <w:r w:rsidRPr="00234EFC">
        <w:rPr>
          <w:rFonts w:ascii="Arial" w:hAnsi="Arial" w:cs="Arial"/>
          <w:sz w:val="20"/>
          <w:szCs w:val="20"/>
        </w:rPr>
        <w:t xml:space="preserve"> millones </w:t>
      </w:r>
      <w:r>
        <w:rPr>
          <w:rFonts w:ascii="Arial" w:hAnsi="Arial" w:cs="Arial"/>
          <w:sz w:val="20"/>
          <w:szCs w:val="20"/>
        </w:rPr>
        <w:t>707</w:t>
      </w:r>
      <w:r w:rsidRPr="00234EFC">
        <w:rPr>
          <w:rFonts w:ascii="Arial" w:hAnsi="Arial" w:cs="Arial"/>
          <w:sz w:val="20"/>
          <w:szCs w:val="20"/>
        </w:rPr>
        <w:t xml:space="preserve"> mil </w:t>
      </w:r>
      <w:r>
        <w:rPr>
          <w:rFonts w:ascii="Arial" w:hAnsi="Arial" w:cs="Arial"/>
          <w:sz w:val="20"/>
          <w:szCs w:val="20"/>
        </w:rPr>
        <w:t>060</w:t>
      </w:r>
      <w:r w:rsidRPr="00234EFC">
        <w:rPr>
          <w:rFonts w:ascii="Arial" w:hAnsi="Arial" w:cs="Arial"/>
          <w:sz w:val="20"/>
          <w:szCs w:val="20"/>
        </w:rPr>
        <w:t xml:space="preserve"> pesos</w:t>
      </w:r>
      <w:r w:rsidRPr="00D3760D">
        <w:rPr>
          <w:rFonts w:ascii="Arial" w:hAnsi="Arial" w:cs="Arial"/>
          <w:sz w:val="20"/>
          <w:szCs w:val="20"/>
        </w:rPr>
        <w:t xml:space="preserve"> como apoyo a víctimas del delito en el Estado, que comparado con lo erogado en igual trimestre de 201</w:t>
      </w:r>
      <w:r>
        <w:rPr>
          <w:rFonts w:ascii="Arial" w:hAnsi="Arial" w:cs="Arial"/>
          <w:sz w:val="20"/>
          <w:szCs w:val="20"/>
        </w:rPr>
        <w:t>5</w:t>
      </w:r>
      <w:r w:rsidRPr="00D3760D">
        <w:rPr>
          <w:rFonts w:ascii="Arial" w:hAnsi="Arial" w:cs="Arial"/>
          <w:sz w:val="20"/>
          <w:szCs w:val="20"/>
        </w:rPr>
        <w:t>, el monto es m</w:t>
      </w:r>
      <w:r>
        <w:rPr>
          <w:rFonts w:ascii="Arial" w:hAnsi="Arial" w:cs="Arial"/>
          <w:sz w:val="20"/>
          <w:szCs w:val="20"/>
        </w:rPr>
        <w:t>ayor</w:t>
      </w:r>
      <w:r w:rsidRPr="00D3760D">
        <w:rPr>
          <w:rFonts w:ascii="Arial" w:hAnsi="Arial" w:cs="Arial"/>
          <w:sz w:val="20"/>
          <w:szCs w:val="20"/>
        </w:rPr>
        <w:t xml:space="preserve"> en </w:t>
      </w:r>
      <w:r>
        <w:rPr>
          <w:rFonts w:ascii="Arial" w:hAnsi="Arial" w:cs="Arial"/>
          <w:sz w:val="20"/>
          <w:szCs w:val="20"/>
        </w:rPr>
        <w:t>6</w:t>
      </w:r>
      <w:r w:rsidRPr="00234EFC">
        <w:rPr>
          <w:rFonts w:ascii="Arial" w:hAnsi="Arial" w:cs="Arial"/>
          <w:sz w:val="20"/>
          <w:szCs w:val="20"/>
        </w:rPr>
        <w:t xml:space="preserve"> millones </w:t>
      </w:r>
      <w:r>
        <w:rPr>
          <w:rFonts w:ascii="Arial" w:hAnsi="Arial" w:cs="Arial"/>
          <w:sz w:val="20"/>
          <w:szCs w:val="20"/>
        </w:rPr>
        <w:t>877</w:t>
      </w:r>
      <w:r w:rsidRPr="00234EFC">
        <w:rPr>
          <w:rFonts w:ascii="Arial" w:hAnsi="Arial" w:cs="Arial"/>
          <w:sz w:val="20"/>
          <w:szCs w:val="20"/>
        </w:rPr>
        <w:t xml:space="preserve"> mil </w:t>
      </w:r>
      <w:r>
        <w:rPr>
          <w:rFonts w:ascii="Arial" w:hAnsi="Arial" w:cs="Arial"/>
          <w:sz w:val="20"/>
          <w:szCs w:val="20"/>
        </w:rPr>
        <w:t>638</w:t>
      </w:r>
      <w:r w:rsidRPr="00234EFC">
        <w:rPr>
          <w:rFonts w:ascii="Arial" w:hAnsi="Arial" w:cs="Arial"/>
          <w:sz w:val="20"/>
          <w:szCs w:val="20"/>
        </w:rPr>
        <w:t xml:space="preserve"> pesos</w:t>
      </w:r>
      <w:r w:rsidRPr="00D3760D">
        <w:rPr>
          <w:rFonts w:ascii="Arial" w:hAnsi="Arial" w:cs="Arial"/>
          <w:sz w:val="20"/>
          <w:szCs w:val="20"/>
        </w:rPr>
        <w:t>.</w:t>
      </w:r>
    </w:p>
    <w:p w:rsidR="00BE1ABC" w:rsidRPr="00D3760D" w:rsidRDefault="00BE1ABC" w:rsidP="00BE1ABC">
      <w:pPr>
        <w:tabs>
          <w:tab w:val="left" w:pos="180"/>
        </w:tabs>
        <w:autoSpaceDE w:val="0"/>
        <w:autoSpaceDN w:val="0"/>
        <w:adjustRightInd w:val="0"/>
        <w:jc w:val="both"/>
        <w:rPr>
          <w:rFonts w:ascii="Arial" w:hAnsi="Arial" w:cs="Arial"/>
          <w:sz w:val="20"/>
          <w:szCs w:val="20"/>
        </w:rPr>
      </w:pPr>
    </w:p>
    <w:p w:rsidR="00BE1ABC" w:rsidRPr="00D3760D" w:rsidRDefault="00BE1ABC" w:rsidP="00BE1ABC">
      <w:pPr>
        <w:tabs>
          <w:tab w:val="left" w:pos="180"/>
        </w:tabs>
        <w:autoSpaceDE w:val="0"/>
        <w:autoSpaceDN w:val="0"/>
        <w:adjustRightInd w:val="0"/>
        <w:jc w:val="both"/>
        <w:rPr>
          <w:rFonts w:ascii="Arial" w:hAnsi="Arial" w:cs="Arial"/>
          <w:sz w:val="20"/>
          <w:szCs w:val="20"/>
        </w:rPr>
      </w:pPr>
      <w:r w:rsidRPr="00D3760D">
        <w:rPr>
          <w:rFonts w:ascii="Arial" w:hAnsi="Arial" w:cs="Arial"/>
          <w:sz w:val="20"/>
          <w:szCs w:val="20"/>
        </w:rPr>
        <w:t xml:space="preserve">En total, se apoyaron </w:t>
      </w:r>
      <w:r>
        <w:rPr>
          <w:rFonts w:ascii="Arial" w:hAnsi="Arial" w:cs="Arial"/>
          <w:sz w:val="20"/>
          <w:szCs w:val="20"/>
        </w:rPr>
        <w:t xml:space="preserve">231 </w:t>
      </w:r>
      <w:r w:rsidRPr="00D3760D">
        <w:rPr>
          <w:rFonts w:ascii="Arial" w:hAnsi="Arial" w:cs="Arial"/>
          <w:sz w:val="20"/>
          <w:szCs w:val="20"/>
        </w:rPr>
        <w:t xml:space="preserve">casos, </w:t>
      </w:r>
      <w:r>
        <w:rPr>
          <w:rFonts w:ascii="Arial" w:hAnsi="Arial" w:cs="Arial"/>
          <w:sz w:val="20"/>
          <w:szCs w:val="20"/>
        </w:rPr>
        <w:t>105</w:t>
      </w:r>
      <w:r w:rsidRPr="00D3760D">
        <w:rPr>
          <w:rFonts w:ascii="Arial" w:hAnsi="Arial" w:cs="Arial"/>
          <w:sz w:val="20"/>
          <w:szCs w:val="20"/>
        </w:rPr>
        <w:t xml:space="preserve"> casos m</w:t>
      </w:r>
      <w:r>
        <w:rPr>
          <w:rFonts w:ascii="Arial" w:hAnsi="Arial" w:cs="Arial"/>
          <w:sz w:val="20"/>
          <w:szCs w:val="20"/>
        </w:rPr>
        <w:t>á</w:t>
      </w:r>
      <w:r w:rsidRPr="00D3760D">
        <w:rPr>
          <w:rFonts w:ascii="Arial" w:hAnsi="Arial" w:cs="Arial"/>
          <w:sz w:val="20"/>
          <w:szCs w:val="20"/>
        </w:rPr>
        <w:t xml:space="preserve">s que el mismo periodo del año anterior y </w:t>
      </w:r>
      <w:r>
        <w:rPr>
          <w:rFonts w:ascii="Arial" w:hAnsi="Arial" w:cs="Arial"/>
          <w:sz w:val="20"/>
          <w:szCs w:val="20"/>
        </w:rPr>
        <w:t>118</w:t>
      </w:r>
      <w:r w:rsidRPr="00D3760D">
        <w:rPr>
          <w:rFonts w:ascii="Arial" w:hAnsi="Arial" w:cs="Arial"/>
          <w:sz w:val="20"/>
          <w:szCs w:val="20"/>
        </w:rPr>
        <w:t xml:space="preserve"> </w:t>
      </w:r>
      <w:r>
        <w:rPr>
          <w:rFonts w:ascii="Arial" w:hAnsi="Arial" w:cs="Arial"/>
          <w:sz w:val="20"/>
          <w:szCs w:val="20"/>
        </w:rPr>
        <w:t>menos</w:t>
      </w:r>
      <w:r w:rsidRPr="00D3760D">
        <w:rPr>
          <w:rFonts w:ascii="Arial" w:hAnsi="Arial" w:cs="Arial"/>
          <w:sz w:val="20"/>
          <w:szCs w:val="20"/>
        </w:rPr>
        <w:t xml:space="preserve"> que el </w:t>
      </w:r>
      <w:r>
        <w:rPr>
          <w:rFonts w:ascii="Arial" w:hAnsi="Arial" w:cs="Arial"/>
          <w:sz w:val="20"/>
          <w:szCs w:val="20"/>
        </w:rPr>
        <w:t xml:space="preserve">cuarto </w:t>
      </w:r>
      <w:r w:rsidRPr="00D3760D">
        <w:rPr>
          <w:rFonts w:ascii="Arial" w:hAnsi="Arial" w:cs="Arial"/>
          <w:sz w:val="20"/>
          <w:szCs w:val="20"/>
        </w:rPr>
        <w:t>trimestre</w:t>
      </w:r>
      <w:r w:rsidRPr="00D3760D">
        <w:rPr>
          <w:rFonts w:ascii="Arial" w:hAnsi="Arial" w:cs="Arial"/>
          <w:color w:val="000000"/>
          <w:sz w:val="20"/>
          <w:szCs w:val="20"/>
        </w:rPr>
        <w:t xml:space="preserve"> de 2015.</w:t>
      </w:r>
    </w:p>
    <w:p w:rsidR="00BE1ABC" w:rsidRPr="00D3760D" w:rsidRDefault="00BE1ABC" w:rsidP="00BE1ABC">
      <w:pPr>
        <w:tabs>
          <w:tab w:val="left" w:pos="180"/>
        </w:tabs>
        <w:autoSpaceDE w:val="0"/>
        <w:autoSpaceDN w:val="0"/>
        <w:adjustRightInd w:val="0"/>
        <w:jc w:val="both"/>
        <w:rPr>
          <w:rFonts w:ascii="Arial" w:hAnsi="Arial" w:cs="Arial"/>
          <w:color w:val="000000"/>
          <w:sz w:val="20"/>
          <w:szCs w:val="20"/>
        </w:rPr>
      </w:pPr>
    </w:p>
    <w:p w:rsidR="00BE1ABC" w:rsidRDefault="00BE1ABC" w:rsidP="00BE1ABC">
      <w:pPr>
        <w:tabs>
          <w:tab w:val="left" w:pos="180"/>
        </w:tabs>
        <w:autoSpaceDE w:val="0"/>
        <w:autoSpaceDN w:val="0"/>
        <w:adjustRightInd w:val="0"/>
        <w:jc w:val="both"/>
        <w:rPr>
          <w:rFonts w:ascii="Arial" w:hAnsi="Arial" w:cs="Arial"/>
          <w:sz w:val="20"/>
          <w:szCs w:val="20"/>
        </w:rPr>
      </w:pPr>
      <w:r w:rsidRPr="00D3760D">
        <w:rPr>
          <w:rFonts w:ascii="Arial" w:hAnsi="Arial" w:cs="Arial"/>
          <w:sz w:val="20"/>
          <w:szCs w:val="20"/>
        </w:rPr>
        <w:t>Desde una perspectiva mensual los recursos se erogaron de la forma siguiente:</w:t>
      </w:r>
    </w:p>
    <w:p w:rsidR="00BE1ABC" w:rsidRDefault="00BE1ABC" w:rsidP="00BE1ABC">
      <w:pPr>
        <w:tabs>
          <w:tab w:val="left" w:pos="180"/>
        </w:tabs>
        <w:autoSpaceDE w:val="0"/>
        <w:autoSpaceDN w:val="0"/>
        <w:adjustRightInd w:val="0"/>
        <w:jc w:val="both"/>
        <w:rPr>
          <w:rFonts w:ascii="Arial" w:hAnsi="Arial" w:cs="Arial"/>
          <w:sz w:val="20"/>
          <w:szCs w:val="20"/>
        </w:rPr>
      </w:pPr>
    </w:p>
    <w:p w:rsidR="00BE1ABC" w:rsidRDefault="00BE1ABC" w:rsidP="00BE1ABC">
      <w:pPr>
        <w:tabs>
          <w:tab w:val="left" w:pos="180"/>
        </w:tabs>
        <w:autoSpaceDE w:val="0"/>
        <w:autoSpaceDN w:val="0"/>
        <w:adjustRightInd w:val="0"/>
        <w:jc w:val="both"/>
        <w:rPr>
          <w:rFonts w:ascii="Arial" w:hAnsi="Arial" w:cs="Arial"/>
          <w:sz w:val="20"/>
          <w:szCs w:val="20"/>
        </w:rPr>
      </w:pPr>
    </w:p>
    <w:bookmarkStart w:id="1" w:name="_MON_1522763961"/>
    <w:bookmarkEnd w:id="1"/>
    <w:p w:rsidR="00BE1ABC" w:rsidRPr="00D3760D" w:rsidRDefault="00BE1ABC" w:rsidP="00BE1ABC">
      <w:pPr>
        <w:tabs>
          <w:tab w:val="left" w:pos="180"/>
        </w:tabs>
        <w:autoSpaceDE w:val="0"/>
        <w:autoSpaceDN w:val="0"/>
        <w:adjustRightInd w:val="0"/>
        <w:jc w:val="center"/>
        <w:rPr>
          <w:rFonts w:ascii="Arial" w:hAnsi="Arial" w:cs="Arial"/>
          <w:sz w:val="20"/>
          <w:szCs w:val="20"/>
        </w:rPr>
      </w:pPr>
      <w:r w:rsidRPr="005057A5">
        <w:rPr>
          <w:rFonts w:ascii="Arial" w:hAnsi="Arial" w:cs="Arial"/>
          <w:sz w:val="20"/>
          <w:szCs w:val="20"/>
        </w:rPr>
        <w:object w:dxaOrig="4211" w:dyaOrig="1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74.25pt" o:ole="">
            <v:imagedata r:id="rId8" o:title=""/>
          </v:shape>
          <o:OLEObject Type="Embed" ProgID="Excel.Sheet.12" ShapeID="_x0000_i1025" DrawAspect="Content" ObjectID="_1523121229" r:id="rId9"/>
        </w:object>
      </w:r>
    </w:p>
    <w:p w:rsidR="00BE1ABC" w:rsidRDefault="00BE1ABC" w:rsidP="00BE1ABC">
      <w:pPr>
        <w:tabs>
          <w:tab w:val="left" w:pos="180"/>
        </w:tabs>
        <w:autoSpaceDE w:val="0"/>
        <w:autoSpaceDN w:val="0"/>
        <w:adjustRightInd w:val="0"/>
        <w:jc w:val="center"/>
        <w:rPr>
          <w:rFonts w:ascii="Arial" w:hAnsi="Arial" w:cs="Arial"/>
          <w:sz w:val="20"/>
          <w:szCs w:val="20"/>
        </w:rPr>
      </w:pPr>
    </w:p>
    <w:p w:rsidR="00BE1ABC" w:rsidRPr="00780465" w:rsidRDefault="00BE1ABC" w:rsidP="00BE1ABC">
      <w:pPr>
        <w:tabs>
          <w:tab w:val="left" w:pos="180"/>
        </w:tabs>
        <w:autoSpaceDE w:val="0"/>
        <w:autoSpaceDN w:val="0"/>
        <w:adjustRightInd w:val="0"/>
        <w:jc w:val="center"/>
        <w:rPr>
          <w:rFonts w:ascii="Arial" w:hAnsi="Arial" w:cs="Arial"/>
          <w:sz w:val="16"/>
          <w:szCs w:val="16"/>
        </w:rPr>
      </w:pPr>
    </w:p>
    <w:p w:rsidR="00BE1ABC" w:rsidRPr="00F83CF8" w:rsidRDefault="00BE1ABC" w:rsidP="00BE1ABC">
      <w:pPr>
        <w:ind w:left="708" w:firstLine="708"/>
        <w:rPr>
          <w:rFonts w:ascii="Arial" w:hAnsi="Arial" w:cs="Arial"/>
          <w:sz w:val="16"/>
          <w:szCs w:val="16"/>
          <w:lang w:val="es-MX"/>
        </w:rPr>
      </w:pPr>
      <w:r w:rsidRPr="00F83CF8">
        <w:rPr>
          <w:rFonts w:ascii="Arial" w:hAnsi="Arial" w:cs="Arial"/>
          <w:sz w:val="16"/>
          <w:szCs w:val="16"/>
          <w:lang w:val="es-MX"/>
        </w:rPr>
        <w:t>Fuente: Procuraduría General de Justicia del Estado de Guanajuato.</w:t>
      </w:r>
    </w:p>
    <w:p w:rsidR="00BE1ABC" w:rsidRDefault="00BE1ABC" w:rsidP="00BE1ABC">
      <w:pPr>
        <w:tabs>
          <w:tab w:val="left" w:pos="180"/>
        </w:tabs>
        <w:autoSpaceDE w:val="0"/>
        <w:autoSpaceDN w:val="0"/>
        <w:adjustRightInd w:val="0"/>
        <w:jc w:val="both"/>
        <w:rPr>
          <w:rFonts w:ascii="Arial" w:hAnsi="Arial" w:cs="Arial"/>
          <w:color w:val="000000"/>
          <w:sz w:val="20"/>
          <w:szCs w:val="20"/>
        </w:rPr>
      </w:pPr>
    </w:p>
    <w:p w:rsidR="00BE1ABC" w:rsidRDefault="00BE1ABC" w:rsidP="00BE1ABC">
      <w:pPr>
        <w:tabs>
          <w:tab w:val="left" w:pos="180"/>
        </w:tabs>
        <w:autoSpaceDE w:val="0"/>
        <w:autoSpaceDN w:val="0"/>
        <w:adjustRightInd w:val="0"/>
        <w:jc w:val="both"/>
        <w:rPr>
          <w:rFonts w:ascii="Arial" w:hAnsi="Arial" w:cs="Arial"/>
          <w:color w:val="000000"/>
          <w:sz w:val="20"/>
          <w:szCs w:val="20"/>
        </w:rPr>
      </w:pPr>
      <w:r w:rsidRPr="00D3760D">
        <w:rPr>
          <w:rFonts w:ascii="Arial" w:hAnsi="Arial" w:cs="Arial"/>
          <w:color w:val="000000"/>
          <w:sz w:val="20"/>
          <w:szCs w:val="20"/>
        </w:rPr>
        <w:lastRenderedPageBreak/>
        <w:t>Los principales rubros en donde se aplicaron los recursos en el periodo de referencia son los siguientes:</w:t>
      </w:r>
    </w:p>
    <w:p w:rsidR="00BE1ABC" w:rsidRPr="00D3760D" w:rsidRDefault="00BE1ABC" w:rsidP="00BE1ABC">
      <w:pPr>
        <w:tabs>
          <w:tab w:val="left" w:pos="180"/>
        </w:tabs>
        <w:autoSpaceDE w:val="0"/>
        <w:autoSpaceDN w:val="0"/>
        <w:adjustRightInd w:val="0"/>
        <w:jc w:val="both"/>
        <w:rPr>
          <w:rFonts w:ascii="Arial" w:hAnsi="Arial" w:cs="Arial"/>
          <w:color w:val="000000"/>
          <w:sz w:val="20"/>
          <w:szCs w:val="20"/>
        </w:rPr>
      </w:pPr>
    </w:p>
    <w:bookmarkStart w:id="2" w:name="_MON_1522764410"/>
    <w:bookmarkEnd w:id="2"/>
    <w:p w:rsidR="00BE1ABC" w:rsidRDefault="00BE1ABC" w:rsidP="00BE1ABC">
      <w:pPr>
        <w:tabs>
          <w:tab w:val="left" w:pos="180"/>
        </w:tabs>
        <w:autoSpaceDE w:val="0"/>
        <w:autoSpaceDN w:val="0"/>
        <w:adjustRightInd w:val="0"/>
        <w:jc w:val="center"/>
        <w:rPr>
          <w:rFonts w:ascii="Arial" w:hAnsi="Arial" w:cs="Arial"/>
          <w:sz w:val="20"/>
          <w:szCs w:val="20"/>
        </w:rPr>
      </w:pPr>
      <w:r w:rsidRPr="005057A5">
        <w:rPr>
          <w:rFonts w:ascii="Arial" w:hAnsi="Arial" w:cs="Arial"/>
          <w:sz w:val="20"/>
          <w:szCs w:val="20"/>
        </w:rPr>
        <w:object w:dxaOrig="5772" w:dyaOrig="2485">
          <v:shape id="_x0000_i1026" type="#_x0000_t75" style="width:264.75pt;height:113.25pt" o:ole="">
            <v:imagedata r:id="rId10" o:title=""/>
          </v:shape>
          <o:OLEObject Type="Embed" ProgID="Excel.Sheet.12" ShapeID="_x0000_i1026" DrawAspect="Content" ObjectID="_1523121230" r:id="rId11"/>
        </w:object>
      </w:r>
    </w:p>
    <w:p w:rsidR="00BE1ABC" w:rsidRPr="00D3760D" w:rsidRDefault="00BE1ABC" w:rsidP="00BE1ABC">
      <w:pPr>
        <w:tabs>
          <w:tab w:val="left" w:pos="180"/>
        </w:tabs>
        <w:autoSpaceDE w:val="0"/>
        <w:autoSpaceDN w:val="0"/>
        <w:adjustRightInd w:val="0"/>
        <w:jc w:val="center"/>
        <w:rPr>
          <w:rFonts w:ascii="Arial" w:hAnsi="Arial" w:cs="Arial"/>
          <w:sz w:val="20"/>
          <w:szCs w:val="20"/>
        </w:rPr>
      </w:pPr>
    </w:p>
    <w:p w:rsidR="00BE1ABC" w:rsidRPr="00780465" w:rsidRDefault="00BE1ABC" w:rsidP="00BE1ABC">
      <w:pPr>
        <w:tabs>
          <w:tab w:val="left" w:pos="180"/>
        </w:tabs>
        <w:autoSpaceDE w:val="0"/>
        <w:autoSpaceDN w:val="0"/>
        <w:adjustRightInd w:val="0"/>
        <w:jc w:val="center"/>
        <w:rPr>
          <w:rFonts w:ascii="Arial" w:hAnsi="Arial" w:cs="Arial"/>
          <w:sz w:val="16"/>
          <w:szCs w:val="16"/>
        </w:rPr>
      </w:pPr>
    </w:p>
    <w:p w:rsidR="00BE1ABC" w:rsidRPr="00F83CF8" w:rsidRDefault="00BE1ABC" w:rsidP="00BE1ABC">
      <w:pPr>
        <w:ind w:left="708" w:firstLine="708"/>
        <w:rPr>
          <w:rFonts w:ascii="Arial" w:hAnsi="Arial" w:cs="Arial"/>
          <w:sz w:val="16"/>
          <w:szCs w:val="16"/>
          <w:lang w:val="es-MX"/>
        </w:rPr>
      </w:pPr>
      <w:r w:rsidRPr="00F83CF8">
        <w:rPr>
          <w:rFonts w:ascii="Arial" w:hAnsi="Arial" w:cs="Arial"/>
          <w:sz w:val="16"/>
          <w:szCs w:val="16"/>
          <w:lang w:val="es-MX"/>
        </w:rPr>
        <w:t>Fuente: Procuraduría General de Justicia del Estado de Guanajuato.</w:t>
      </w:r>
    </w:p>
    <w:p w:rsidR="00BE1ABC" w:rsidRPr="00780465" w:rsidRDefault="00BE1ABC" w:rsidP="00BE1ABC">
      <w:pPr>
        <w:tabs>
          <w:tab w:val="left" w:pos="180"/>
        </w:tabs>
        <w:autoSpaceDE w:val="0"/>
        <w:autoSpaceDN w:val="0"/>
        <w:adjustRightInd w:val="0"/>
        <w:jc w:val="center"/>
        <w:rPr>
          <w:rFonts w:ascii="Arial" w:hAnsi="Arial" w:cs="Arial"/>
          <w:sz w:val="20"/>
          <w:szCs w:val="20"/>
          <w:lang w:val="es-MX"/>
        </w:rPr>
      </w:pPr>
    </w:p>
    <w:p w:rsidR="00BE1ABC" w:rsidRPr="00D3760D" w:rsidRDefault="00BE1ABC" w:rsidP="00BE1ABC">
      <w:pPr>
        <w:tabs>
          <w:tab w:val="left" w:pos="180"/>
        </w:tabs>
        <w:autoSpaceDE w:val="0"/>
        <w:autoSpaceDN w:val="0"/>
        <w:adjustRightInd w:val="0"/>
        <w:jc w:val="center"/>
        <w:rPr>
          <w:rFonts w:ascii="Arial" w:hAnsi="Arial" w:cs="Arial"/>
          <w:sz w:val="20"/>
          <w:szCs w:val="20"/>
        </w:rPr>
      </w:pPr>
    </w:p>
    <w:p w:rsidR="00BE1ABC" w:rsidRPr="00D3760D" w:rsidRDefault="00BE1ABC" w:rsidP="00BE1ABC">
      <w:pPr>
        <w:tabs>
          <w:tab w:val="left" w:pos="180"/>
        </w:tabs>
        <w:autoSpaceDE w:val="0"/>
        <w:autoSpaceDN w:val="0"/>
        <w:adjustRightInd w:val="0"/>
        <w:jc w:val="both"/>
        <w:rPr>
          <w:rFonts w:ascii="Arial" w:hAnsi="Arial" w:cs="Arial"/>
          <w:sz w:val="20"/>
          <w:szCs w:val="20"/>
          <w:shd w:val="clear" w:color="auto" w:fill="FFFFFF" w:themeFill="background1"/>
        </w:rPr>
      </w:pPr>
      <w:r w:rsidRPr="00D3760D">
        <w:rPr>
          <w:rFonts w:ascii="Arial" w:hAnsi="Arial" w:cs="Arial"/>
          <w:sz w:val="20"/>
          <w:szCs w:val="20"/>
        </w:rPr>
        <w:t>Asimismo, durante el m</w:t>
      </w:r>
      <w:r>
        <w:rPr>
          <w:rFonts w:ascii="Arial" w:hAnsi="Arial" w:cs="Arial"/>
          <w:sz w:val="20"/>
          <w:szCs w:val="20"/>
        </w:rPr>
        <w:t>ismo periodo por tipo de delito</w:t>
      </w:r>
      <w:r w:rsidRPr="00D3760D">
        <w:rPr>
          <w:rFonts w:ascii="Arial" w:hAnsi="Arial" w:cs="Arial"/>
          <w:sz w:val="20"/>
          <w:szCs w:val="20"/>
        </w:rPr>
        <w:t xml:space="preserve"> el monto erogado se distribuyó de la siguiente manera</w:t>
      </w:r>
      <w:r w:rsidRPr="00D3760D">
        <w:rPr>
          <w:rFonts w:ascii="Arial" w:hAnsi="Arial" w:cs="Arial"/>
          <w:sz w:val="20"/>
          <w:szCs w:val="20"/>
          <w:shd w:val="clear" w:color="auto" w:fill="FFFFFF" w:themeFill="background1"/>
        </w:rPr>
        <w:t>:</w:t>
      </w:r>
    </w:p>
    <w:p w:rsidR="00BE1ABC" w:rsidRDefault="00BE1ABC" w:rsidP="00BE1ABC">
      <w:pPr>
        <w:tabs>
          <w:tab w:val="left" w:pos="180"/>
        </w:tabs>
        <w:autoSpaceDE w:val="0"/>
        <w:autoSpaceDN w:val="0"/>
        <w:adjustRightInd w:val="0"/>
        <w:ind w:left="720"/>
        <w:jc w:val="both"/>
        <w:rPr>
          <w:rFonts w:ascii="Arial" w:hAnsi="Arial" w:cs="Arial"/>
          <w:sz w:val="20"/>
          <w:szCs w:val="20"/>
        </w:rPr>
      </w:pPr>
    </w:p>
    <w:bookmarkStart w:id="3" w:name="_MON_1522764611"/>
    <w:bookmarkEnd w:id="3"/>
    <w:p w:rsidR="00BE1ABC" w:rsidRPr="00D3760D" w:rsidRDefault="00BE1ABC" w:rsidP="00BE1ABC">
      <w:pPr>
        <w:tabs>
          <w:tab w:val="left" w:pos="180"/>
        </w:tabs>
        <w:autoSpaceDE w:val="0"/>
        <w:autoSpaceDN w:val="0"/>
        <w:adjustRightInd w:val="0"/>
        <w:ind w:left="720"/>
        <w:jc w:val="center"/>
        <w:rPr>
          <w:rFonts w:ascii="Arial" w:hAnsi="Arial" w:cs="Arial"/>
          <w:sz w:val="20"/>
          <w:szCs w:val="20"/>
        </w:rPr>
      </w:pPr>
      <w:r w:rsidRPr="005057A5">
        <w:rPr>
          <w:rFonts w:ascii="Arial" w:hAnsi="Arial" w:cs="Arial"/>
          <w:sz w:val="20"/>
          <w:szCs w:val="20"/>
        </w:rPr>
        <w:object w:dxaOrig="7380" w:dyaOrig="4588">
          <v:shape id="_x0000_i1027" type="#_x0000_t75" style="width:345pt;height:214.5pt" o:ole="">
            <v:imagedata r:id="rId12" o:title=""/>
          </v:shape>
          <o:OLEObject Type="Embed" ProgID="Excel.Sheet.12" ShapeID="_x0000_i1027" DrawAspect="Content" ObjectID="_1523121231" r:id="rId13"/>
        </w:object>
      </w:r>
    </w:p>
    <w:p w:rsidR="00BE1ABC" w:rsidRDefault="00BE1ABC" w:rsidP="00BE1ABC">
      <w:pPr>
        <w:tabs>
          <w:tab w:val="left" w:pos="180"/>
        </w:tabs>
        <w:autoSpaceDE w:val="0"/>
        <w:autoSpaceDN w:val="0"/>
        <w:adjustRightInd w:val="0"/>
        <w:jc w:val="center"/>
        <w:rPr>
          <w:rFonts w:ascii="Arial" w:hAnsi="Arial" w:cs="Arial"/>
          <w:color w:val="000000"/>
          <w:sz w:val="16"/>
          <w:szCs w:val="16"/>
        </w:rPr>
      </w:pPr>
    </w:p>
    <w:p w:rsidR="00BE1ABC" w:rsidRPr="00780465" w:rsidRDefault="00BE1ABC" w:rsidP="00BE1ABC">
      <w:pPr>
        <w:tabs>
          <w:tab w:val="left" w:pos="180"/>
        </w:tabs>
        <w:autoSpaceDE w:val="0"/>
        <w:autoSpaceDN w:val="0"/>
        <w:adjustRightInd w:val="0"/>
        <w:jc w:val="center"/>
        <w:rPr>
          <w:rFonts w:ascii="Arial" w:hAnsi="Arial" w:cs="Arial"/>
          <w:color w:val="000000"/>
          <w:sz w:val="16"/>
          <w:szCs w:val="16"/>
        </w:rPr>
      </w:pPr>
    </w:p>
    <w:p w:rsidR="00BE1ABC" w:rsidRDefault="00BE1ABC" w:rsidP="00BE1ABC">
      <w:pPr>
        <w:ind w:left="708" w:firstLine="708"/>
        <w:rPr>
          <w:rFonts w:ascii="Arial" w:hAnsi="Arial" w:cs="Arial"/>
          <w:sz w:val="16"/>
          <w:szCs w:val="16"/>
          <w:lang w:val="es-MX"/>
        </w:rPr>
      </w:pPr>
      <w:r w:rsidRPr="00F83CF8">
        <w:rPr>
          <w:rFonts w:ascii="Arial" w:hAnsi="Arial" w:cs="Arial"/>
          <w:sz w:val="16"/>
          <w:szCs w:val="16"/>
          <w:lang w:val="es-MX"/>
        </w:rPr>
        <w:t>Fuente: Procuraduría General de Justicia del Estado de Guanajuato.</w:t>
      </w:r>
    </w:p>
    <w:p w:rsidR="00BE1ABC" w:rsidRDefault="00BE1ABC" w:rsidP="00BE1ABC">
      <w:pPr>
        <w:ind w:left="708" w:firstLine="708"/>
        <w:rPr>
          <w:rFonts w:ascii="Arial" w:hAnsi="Arial" w:cs="Arial"/>
          <w:sz w:val="16"/>
          <w:szCs w:val="16"/>
          <w:lang w:val="es-MX"/>
        </w:rPr>
      </w:pPr>
    </w:p>
    <w:p w:rsidR="00BE1ABC" w:rsidRPr="00F83CF8" w:rsidRDefault="00BE1ABC" w:rsidP="00BE1ABC">
      <w:pPr>
        <w:ind w:left="708" w:firstLine="708"/>
        <w:rPr>
          <w:rFonts w:ascii="Arial" w:hAnsi="Arial" w:cs="Arial"/>
          <w:sz w:val="16"/>
          <w:szCs w:val="16"/>
          <w:lang w:val="es-MX"/>
        </w:rPr>
      </w:pPr>
    </w:p>
    <w:p w:rsidR="00BE1ABC" w:rsidRPr="00D3760D" w:rsidRDefault="00BE1ABC" w:rsidP="00BE1ABC">
      <w:pPr>
        <w:tabs>
          <w:tab w:val="left" w:pos="180"/>
        </w:tabs>
        <w:autoSpaceDE w:val="0"/>
        <w:autoSpaceDN w:val="0"/>
        <w:adjustRightInd w:val="0"/>
        <w:jc w:val="both"/>
        <w:rPr>
          <w:rFonts w:ascii="Arial" w:hAnsi="Arial" w:cs="Arial"/>
          <w:sz w:val="20"/>
          <w:szCs w:val="20"/>
        </w:rPr>
      </w:pPr>
      <w:r w:rsidRPr="00D3760D">
        <w:rPr>
          <w:rFonts w:ascii="Arial" w:hAnsi="Arial" w:cs="Arial"/>
          <w:color w:val="000000"/>
          <w:sz w:val="20"/>
          <w:szCs w:val="20"/>
        </w:rPr>
        <w:lastRenderedPageBreak/>
        <w:t>En el siguiente cuadro se muestran las cifras y números de casos alcanzados por cada municipio durante el periodo que se reporta:</w:t>
      </w:r>
      <w:r w:rsidRPr="00D3760D">
        <w:rPr>
          <w:rFonts w:ascii="Arial" w:hAnsi="Arial" w:cs="Arial"/>
          <w:sz w:val="20"/>
          <w:szCs w:val="20"/>
        </w:rPr>
        <w:t xml:space="preserve"> </w:t>
      </w:r>
    </w:p>
    <w:p w:rsidR="00BE1ABC" w:rsidRDefault="00BE1ABC" w:rsidP="00BE1ABC">
      <w:pPr>
        <w:tabs>
          <w:tab w:val="left" w:pos="180"/>
        </w:tabs>
        <w:autoSpaceDE w:val="0"/>
        <w:autoSpaceDN w:val="0"/>
        <w:adjustRightInd w:val="0"/>
        <w:jc w:val="center"/>
        <w:rPr>
          <w:rFonts w:ascii="Arial" w:hAnsi="Arial" w:cs="Arial"/>
          <w:sz w:val="20"/>
          <w:szCs w:val="20"/>
        </w:rPr>
      </w:pPr>
    </w:p>
    <w:bookmarkStart w:id="4" w:name="_MON_1522755290"/>
    <w:bookmarkEnd w:id="4"/>
    <w:p w:rsidR="00BE1ABC" w:rsidRDefault="00BE1ABC" w:rsidP="00BE1ABC">
      <w:pPr>
        <w:tabs>
          <w:tab w:val="left" w:pos="180"/>
        </w:tabs>
        <w:autoSpaceDE w:val="0"/>
        <w:autoSpaceDN w:val="0"/>
        <w:adjustRightInd w:val="0"/>
        <w:jc w:val="center"/>
        <w:rPr>
          <w:rFonts w:ascii="Arial" w:hAnsi="Arial" w:cs="Arial"/>
          <w:b/>
          <w:color w:val="000000"/>
          <w:sz w:val="20"/>
          <w:szCs w:val="20"/>
        </w:rPr>
      </w:pPr>
      <w:r w:rsidRPr="005057A5">
        <w:rPr>
          <w:rFonts w:ascii="Arial" w:hAnsi="Arial" w:cs="Arial"/>
          <w:sz w:val="20"/>
          <w:szCs w:val="20"/>
        </w:rPr>
        <w:object w:dxaOrig="7670" w:dyaOrig="9790">
          <v:shape id="_x0000_i1028" type="#_x0000_t75" style="width:366.75pt;height:432.75pt" o:ole="">
            <v:imagedata r:id="rId14" o:title=""/>
          </v:shape>
          <o:OLEObject Type="Embed" ProgID="Excel.Sheet.12" ShapeID="_x0000_i1028" DrawAspect="Content" ObjectID="_1523121232" r:id="rId15"/>
        </w:object>
      </w:r>
    </w:p>
    <w:p w:rsidR="00BE1ABC" w:rsidRPr="00E03EB7" w:rsidRDefault="00BE1ABC" w:rsidP="00BE1ABC">
      <w:pPr>
        <w:tabs>
          <w:tab w:val="left" w:pos="180"/>
        </w:tabs>
        <w:autoSpaceDE w:val="0"/>
        <w:autoSpaceDN w:val="0"/>
        <w:adjustRightInd w:val="0"/>
        <w:jc w:val="center"/>
        <w:rPr>
          <w:rFonts w:ascii="Arial" w:hAnsi="Arial" w:cs="Arial"/>
          <w:b/>
          <w:color w:val="000000"/>
          <w:sz w:val="16"/>
          <w:szCs w:val="16"/>
        </w:rPr>
      </w:pPr>
    </w:p>
    <w:p w:rsidR="00BE1ABC" w:rsidRPr="00EE22BE" w:rsidRDefault="00BE1ABC" w:rsidP="00BE1ABC">
      <w:pPr>
        <w:ind w:left="708" w:firstLine="708"/>
        <w:rPr>
          <w:rFonts w:ascii="Arial" w:hAnsi="Arial" w:cs="Arial"/>
          <w:sz w:val="16"/>
          <w:szCs w:val="16"/>
          <w:lang w:val="es-MX"/>
        </w:rPr>
      </w:pPr>
      <w:r w:rsidRPr="00F83CF8">
        <w:rPr>
          <w:rFonts w:ascii="Arial" w:hAnsi="Arial" w:cs="Arial"/>
          <w:sz w:val="16"/>
          <w:szCs w:val="16"/>
          <w:lang w:val="es-MX"/>
        </w:rPr>
        <w:t>Fuente: Procuraduría General de Justicia del Estado de Guanajuato.</w:t>
      </w:r>
      <w:bookmarkStart w:id="5" w:name="_MON_1460807040"/>
      <w:bookmarkEnd w:id="5"/>
    </w:p>
    <w:p w:rsidR="00BE1ABC" w:rsidRDefault="00BE1ABC" w:rsidP="00BE1ABC">
      <w:pPr>
        <w:tabs>
          <w:tab w:val="left" w:pos="180"/>
        </w:tabs>
        <w:autoSpaceDE w:val="0"/>
        <w:autoSpaceDN w:val="0"/>
        <w:adjustRightInd w:val="0"/>
        <w:jc w:val="both"/>
        <w:rPr>
          <w:rFonts w:ascii="Arial" w:hAnsi="Arial" w:cs="Arial"/>
          <w:color w:val="000000"/>
          <w:sz w:val="20"/>
          <w:szCs w:val="20"/>
        </w:rPr>
      </w:pPr>
      <w:r w:rsidRPr="00D3760D">
        <w:rPr>
          <w:rFonts w:ascii="Arial" w:hAnsi="Arial" w:cs="Arial"/>
          <w:sz w:val="20"/>
          <w:szCs w:val="20"/>
        </w:rPr>
        <w:lastRenderedPageBreak/>
        <w:t xml:space="preserve">Desde una perspectiva </w:t>
      </w:r>
      <w:r>
        <w:rPr>
          <w:rFonts w:ascii="Arial" w:hAnsi="Arial" w:cs="Arial"/>
          <w:sz w:val="20"/>
          <w:szCs w:val="20"/>
        </w:rPr>
        <w:t xml:space="preserve">anual </w:t>
      </w:r>
      <w:r w:rsidRPr="00D3760D">
        <w:rPr>
          <w:rFonts w:ascii="Arial" w:hAnsi="Arial" w:cs="Arial"/>
          <w:sz w:val="20"/>
          <w:szCs w:val="20"/>
        </w:rPr>
        <w:t xml:space="preserve">los recursos </w:t>
      </w:r>
      <w:r>
        <w:rPr>
          <w:rFonts w:ascii="Arial" w:hAnsi="Arial" w:cs="Arial"/>
          <w:sz w:val="20"/>
          <w:szCs w:val="20"/>
        </w:rPr>
        <w:t xml:space="preserve">que </w:t>
      </w:r>
      <w:r w:rsidRPr="00D3760D">
        <w:rPr>
          <w:rFonts w:ascii="Arial" w:hAnsi="Arial" w:cs="Arial"/>
          <w:sz w:val="20"/>
          <w:szCs w:val="20"/>
        </w:rPr>
        <w:t xml:space="preserve">se erogaron </w:t>
      </w:r>
      <w:r>
        <w:rPr>
          <w:rFonts w:ascii="Arial" w:hAnsi="Arial" w:cs="Arial"/>
          <w:sz w:val="20"/>
          <w:szCs w:val="20"/>
        </w:rPr>
        <w:t>totalizan un importe de 9 millones 707 mil 060 pesos, como se muestra en la siguiente gráfica:</w:t>
      </w:r>
      <w:r>
        <w:rPr>
          <w:rFonts w:ascii="Arial" w:hAnsi="Arial" w:cs="Arial"/>
          <w:color w:val="000000"/>
          <w:sz w:val="20"/>
          <w:szCs w:val="20"/>
        </w:rPr>
        <w:t xml:space="preserve"> </w:t>
      </w:r>
    </w:p>
    <w:p w:rsidR="00BE1ABC" w:rsidRDefault="00BE1ABC" w:rsidP="00BE1ABC">
      <w:pPr>
        <w:tabs>
          <w:tab w:val="left" w:pos="180"/>
        </w:tabs>
        <w:autoSpaceDE w:val="0"/>
        <w:autoSpaceDN w:val="0"/>
        <w:adjustRightInd w:val="0"/>
        <w:jc w:val="both"/>
        <w:rPr>
          <w:rFonts w:ascii="Arial" w:hAnsi="Arial" w:cs="Arial"/>
          <w:color w:val="000000"/>
          <w:sz w:val="20"/>
          <w:szCs w:val="20"/>
        </w:rPr>
      </w:pPr>
    </w:p>
    <w:p w:rsidR="00BE1ABC" w:rsidRDefault="00BE1ABC" w:rsidP="00BE1ABC">
      <w:pPr>
        <w:tabs>
          <w:tab w:val="left" w:pos="180"/>
        </w:tabs>
        <w:autoSpaceDE w:val="0"/>
        <w:autoSpaceDN w:val="0"/>
        <w:adjustRightInd w:val="0"/>
        <w:jc w:val="center"/>
        <w:rPr>
          <w:rFonts w:ascii="Arial" w:hAnsi="Arial" w:cs="Arial"/>
          <w:color w:val="000000"/>
          <w:sz w:val="20"/>
          <w:szCs w:val="20"/>
        </w:rPr>
      </w:pPr>
      <w:r w:rsidRPr="005057A5">
        <w:rPr>
          <w:rFonts w:ascii="Arial" w:hAnsi="Arial" w:cs="Arial"/>
          <w:color w:val="000000"/>
          <w:sz w:val="20"/>
          <w:szCs w:val="20"/>
        </w:rPr>
        <w:object w:dxaOrig="10538" w:dyaOrig="5056">
          <v:shape id="_x0000_i1029" type="#_x0000_t75" style="width:527.25pt;height:252.75pt" o:ole="">
            <v:imagedata r:id="rId16" o:title=""/>
          </v:shape>
          <o:OLEObject Type="Embed" ProgID="Excel.Sheet.12" ShapeID="_x0000_i1029" DrawAspect="Content" ObjectID="_1523121233" r:id="rId17"/>
        </w:object>
      </w:r>
    </w:p>
    <w:p w:rsidR="00BE1ABC" w:rsidRDefault="00BE1ABC" w:rsidP="00BE1ABC">
      <w:pPr>
        <w:tabs>
          <w:tab w:val="left" w:pos="180"/>
        </w:tabs>
        <w:autoSpaceDE w:val="0"/>
        <w:autoSpaceDN w:val="0"/>
        <w:adjustRightInd w:val="0"/>
        <w:jc w:val="center"/>
        <w:rPr>
          <w:rFonts w:ascii="Arial" w:hAnsi="Arial" w:cs="Arial"/>
          <w:color w:val="000000"/>
          <w:sz w:val="20"/>
          <w:szCs w:val="20"/>
        </w:rPr>
      </w:pPr>
    </w:p>
    <w:p w:rsidR="00BE1ABC" w:rsidRDefault="00BE1ABC" w:rsidP="00BE1ABC">
      <w:pPr>
        <w:tabs>
          <w:tab w:val="left" w:pos="180"/>
        </w:tabs>
        <w:autoSpaceDE w:val="0"/>
        <w:autoSpaceDN w:val="0"/>
        <w:adjustRightInd w:val="0"/>
        <w:jc w:val="both"/>
        <w:rPr>
          <w:rFonts w:ascii="Arial" w:hAnsi="Arial" w:cs="Arial"/>
          <w:color w:val="000000"/>
          <w:sz w:val="20"/>
          <w:szCs w:val="20"/>
        </w:rPr>
      </w:pPr>
    </w:p>
    <w:p w:rsidR="00BE1ABC" w:rsidRPr="00F83CF8" w:rsidRDefault="00BE1ABC" w:rsidP="00BE1ABC">
      <w:pPr>
        <w:ind w:left="708" w:firstLine="708"/>
        <w:rPr>
          <w:rFonts w:ascii="Arial" w:hAnsi="Arial" w:cs="Arial"/>
          <w:sz w:val="16"/>
          <w:szCs w:val="16"/>
          <w:lang w:val="es-MX"/>
        </w:rPr>
      </w:pPr>
      <w:r w:rsidRPr="00F83CF8">
        <w:rPr>
          <w:rFonts w:ascii="Arial" w:hAnsi="Arial" w:cs="Arial"/>
          <w:sz w:val="16"/>
          <w:szCs w:val="16"/>
          <w:lang w:val="es-MX"/>
        </w:rPr>
        <w:t>Fuente: Procuraduría General de Justicia del Estado de Guanajuato.</w:t>
      </w:r>
    </w:p>
    <w:p w:rsidR="00BE1ABC" w:rsidRPr="00124A8C" w:rsidRDefault="00BE1ABC" w:rsidP="00BE1ABC">
      <w:pPr>
        <w:rPr>
          <w:szCs w:val="20"/>
          <w:lang w:val="es-MX"/>
        </w:rPr>
      </w:pPr>
    </w:p>
    <w:p w:rsidR="00C76527" w:rsidRPr="00BE1ABC" w:rsidRDefault="00C76527" w:rsidP="00AE2230">
      <w:pPr>
        <w:rPr>
          <w:szCs w:val="20"/>
          <w:lang w:val="es-MX"/>
        </w:rPr>
      </w:pPr>
    </w:p>
    <w:sectPr w:rsidR="00C76527" w:rsidRPr="00BE1ABC" w:rsidSect="00C0415E">
      <w:headerReference w:type="even" r:id="rId18"/>
      <w:headerReference w:type="default" r:id="rId19"/>
      <w:footerReference w:type="even" r:id="rId20"/>
      <w:footerReference w:type="default" r:id="rId21"/>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4A" w:rsidRDefault="00AC514A" w:rsidP="00EA5418">
      <w:r>
        <w:separator/>
      </w:r>
    </w:p>
  </w:endnote>
  <w:endnote w:type="continuationSeparator" w:id="0">
    <w:p w:rsidR="00AC514A" w:rsidRDefault="00AC514A"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1E3B9D" w:rsidRDefault="00C0415E" w:rsidP="0013011C">
    <w:pPr>
      <w:pStyle w:val="Piedepgin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pict>
        <v:line id="_x0000_s4125" style="position:absolute;left:0;text-align:left;flip:y;z-index:251675648;visibility:visible;mso-width-relative:margin" from="-53.25pt,-2.55pt" to="736.5pt,-2.55pt" strokecolor="#4579b8 [3044]" strokeweight="1.5pt"/>
      </w:pict>
    </w:r>
    <w:r w:rsidR="006B16E7">
      <w:rPr>
        <w:rFonts w:ascii="Arial" w:hAnsi="Arial" w:cs="Arial"/>
        <w:color w:val="808080" w:themeColor="background1" w:themeShade="80"/>
        <w:sz w:val="20"/>
        <w:szCs w:val="20"/>
      </w:rPr>
      <w:t>Anexos</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BE286C"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BE286C"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18</w:t>
        </w:r>
        <w:r w:rsidR="00BE286C"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584484" w:rsidRDefault="00C0415E"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_x0000_s4123" style="position:absolute;left:0;text-align:left;flip:y;z-index:251673600;visibility:visible;mso-width-relative:margin" from="-53.25pt,-2.55pt" to="736.5pt,-2.55pt" strokecolor="#4579b8 [3044]" strokeweight="1.5pt"/>
      </w:pic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1A05C7">
          <w:rPr>
            <w:rFonts w:ascii="Arial" w:hAnsi="Arial" w:cs="Arial"/>
            <w:color w:val="808080" w:themeColor="background1" w:themeShade="80"/>
            <w:sz w:val="20"/>
            <w:szCs w:val="20"/>
          </w:rPr>
          <w:t>Anexos</w:t>
        </w:r>
        <w:r w:rsidR="00C2252C" w:rsidRPr="00584484">
          <w:rPr>
            <w:rFonts w:ascii="Arial" w:hAnsi="Arial" w:cs="Arial"/>
            <w:color w:val="808080" w:themeColor="background1" w:themeShade="80"/>
            <w:sz w:val="20"/>
            <w:szCs w:val="20"/>
          </w:rPr>
          <w:t xml:space="preserve"> / </w:t>
        </w:r>
        <w:r w:rsidR="00BE286C"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BE286C"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17</w:t>
        </w:r>
        <w:r w:rsidR="00BE286C"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4A" w:rsidRDefault="00AC514A" w:rsidP="00EA5418">
      <w:r>
        <w:separator/>
      </w:r>
    </w:p>
  </w:footnote>
  <w:footnote w:type="continuationSeparator" w:id="0">
    <w:p w:rsidR="00AC514A" w:rsidRDefault="00AC514A"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Default="00C0415E" w:rsidP="00662E1A">
    <w:pPr>
      <w:pStyle w:val="Encabezado"/>
      <w:tabs>
        <w:tab w:val="clear" w:pos="4419"/>
        <w:tab w:val="clear" w:pos="8838"/>
        <w:tab w:val="left" w:pos="7961"/>
      </w:tabs>
    </w:pPr>
    <w:r>
      <w:rPr>
        <w:rFonts w:ascii="Soberana Sans Light" w:hAnsi="Soberana Sans Light"/>
        <w:noProof/>
        <w:lang w:eastAsia="es-MX"/>
      </w:rPr>
      <w:pict>
        <v:line id="4 Conector recto" o:spid="_x0000_s4100" style="position:absolute;flip:y;z-index:251663360;visibility:visible;mso-width-relative:margin" from="-53.25pt,16.6pt" to="736.5pt,16.6pt" strokecolor="#4579b8" strokeweight="1.5pt"/>
      </w:pict>
    </w:r>
    <w:r>
      <w:rPr>
        <w:rFonts w:ascii="Soberana Sans Light" w:hAnsi="Soberana Sans Light"/>
        <w:noProof/>
        <w:lang w:eastAsia="es-MX"/>
      </w:rPr>
      <w:pict>
        <v:shapetype id="_x0000_t202" coordsize="21600,21600" o:spt="202" path="m,l,21600r21600,l21600,xe">
          <v:stroke joinstyle="miter"/>
          <v:path gradientshapeok="t" o:connecttype="rect"/>
        </v:shapetype>
        <v:shape id="Cuadro de texto 18" o:spid="_x0000_s4116" type="#_x0000_t202" style="position:absolute;margin-left:366.9pt;margin-top:-16.35pt;width:66.05pt;height:2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" stroked="f">
          <v:textbox style="mso-next-textbox:#Cuadro de texto 18">
            <w:txbxContent>
              <w:p w:rsidR="00C2252C" w:rsidRPr="00E9097D" w:rsidRDefault="00C2252C"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1A05C7">
                  <w:rPr>
                    <w:rFonts w:ascii="Arial" w:hAnsi="Arial" w:cs="Arial"/>
                    <w:color w:val="808080" w:themeColor="background1" w:themeShade="80"/>
                    <w:sz w:val="32"/>
                    <w:szCs w:val="32"/>
                  </w:rPr>
                  <w:t>6</w:t>
                </w:r>
              </w:p>
            </w:txbxContent>
          </v:textbox>
        </v:shape>
      </w:pict>
    </w:r>
    <w:r>
      <w:rPr>
        <w:rFonts w:ascii="Soberana Sans Light" w:hAnsi="Soberana Sans Light"/>
        <w:noProof/>
        <w:lang w:eastAsia="es-MX"/>
      </w:rPr>
      <w:pict>
        <v:shape id="Cuadro de texto 17" o:spid="_x0000_s4117" type="#_x0000_t202" style="position:absolute;margin-left:153.05pt;margin-top:-21.85pt;width:217.9pt;height:3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" stroked="f">
          <v:textbox style="mso-next-textbox:#Cuadro de texto 17">
            <w:txbxContent>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rsidR="00C2252C" w:rsidRPr="00410C0A" w:rsidRDefault="00C2252C"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B16297"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w:t>
                </w:r>
                <w:r w:rsidR="00C2252C" w:rsidRPr="00584484">
                  <w:rPr>
                    <w:rFonts w:ascii="Arial" w:hAnsi="Arial" w:cs="Arial"/>
                    <w:color w:val="808080" w:themeColor="background1" w:themeShade="80"/>
                    <w:sz w:val="20"/>
                    <w:szCs w:val="20"/>
                  </w:rPr>
                  <w:t>GUANAJUATO</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7D16CA" w:rsidRDefault="00C0415E"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w:pict>
        <v:line id="_x0000_s4124" style="position:absolute;left:0;text-align:left;flip:y;z-index:251674624;visibility:visible;mso-width-relative:margin" from="-53.85pt,16.8pt" to="738.7pt,16.8pt" strokecolor="#4579b8 [3044]" strokeweight="1.5pt"/>
      </w:pict>
    </w:r>
    <w:r w:rsidR="00C2252C" w:rsidRPr="007D16CA">
      <w:rPr>
        <w:rFonts w:ascii="Arial" w:hAnsi="Arial" w:cs="Arial"/>
        <w:color w:val="808080" w:themeColor="background1" w:themeShade="80"/>
        <w:sz w:val="20"/>
        <w:szCs w:val="20"/>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12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241"/>
    <w:rsid w:val="00031801"/>
    <w:rsid w:val="000355E9"/>
    <w:rsid w:val="00040466"/>
    <w:rsid w:val="0004218E"/>
    <w:rsid w:val="00051ECA"/>
    <w:rsid w:val="00056042"/>
    <w:rsid w:val="00062DBE"/>
    <w:rsid w:val="000963D2"/>
    <w:rsid w:val="000B3C7C"/>
    <w:rsid w:val="000C4654"/>
    <w:rsid w:val="0010245D"/>
    <w:rsid w:val="00107A57"/>
    <w:rsid w:val="00120FC0"/>
    <w:rsid w:val="00121C91"/>
    <w:rsid w:val="00126634"/>
    <w:rsid w:val="0013011C"/>
    <w:rsid w:val="00136010"/>
    <w:rsid w:val="001439FE"/>
    <w:rsid w:val="001646D9"/>
    <w:rsid w:val="00165BF7"/>
    <w:rsid w:val="00184B82"/>
    <w:rsid w:val="001853A4"/>
    <w:rsid w:val="001A05C7"/>
    <w:rsid w:val="001B0D37"/>
    <w:rsid w:val="001B0EC5"/>
    <w:rsid w:val="001B1B72"/>
    <w:rsid w:val="001D36FA"/>
    <w:rsid w:val="001E0675"/>
    <w:rsid w:val="001E3B9D"/>
    <w:rsid w:val="001E7F9E"/>
    <w:rsid w:val="002073FD"/>
    <w:rsid w:val="00217EA0"/>
    <w:rsid w:val="0026216E"/>
    <w:rsid w:val="0026488C"/>
    <w:rsid w:val="0028780C"/>
    <w:rsid w:val="002906E8"/>
    <w:rsid w:val="002A70B3"/>
    <w:rsid w:val="002B6BA9"/>
    <w:rsid w:val="002E3600"/>
    <w:rsid w:val="002E7A4E"/>
    <w:rsid w:val="00300A8C"/>
    <w:rsid w:val="00307635"/>
    <w:rsid w:val="0032547C"/>
    <w:rsid w:val="00355821"/>
    <w:rsid w:val="003610E0"/>
    <w:rsid w:val="00372F40"/>
    <w:rsid w:val="003A0375"/>
    <w:rsid w:val="003A05A1"/>
    <w:rsid w:val="003D5DBF"/>
    <w:rsid w:val="003E7FD0"/>
    <w:rsid w:val="00410AF3"/>
    <w:rsid w:val="00410C0A"/>
    <w:rsid w:val="00412705"/>
    <w:rsid w:val="00414245"/>
    <w:rsid w:val="00417817"/>
    <w:rsid w:val="00426E16"/>
    <w:rsid w:val="0044253C"/>
    <w:rsid w:val="00442BD3"/>
    <w:rsid w:val="004437A5"/>
    <w:rsid w:val="0047223C"/>
    <w:rsid w:val="00481BB6"/>
    <w:rsid w:val="00486AE1"/>
    <w:rsid w:val="004915D1"/>
    <w:rsid w:val="00495751"/>
    <w:rsid w:val="00497D8B"/>
    <w:rsid w:val="004B01D6"/>
    <w:rsid w:val="004B284E"/>
    <w:rsid w:val="004B44B9"/>
    <w:rsid w:val="004D41B8"/>
    <w:rsid w:val="004F09C0"/>
    <w:rsid w:val="004F29CC"/>
    <w:rsid w:val="00502D8E"/>
    <w:rsid w:val="00506351"/>
    <w:rsid w:val="005117F4"/>
    <w:rsid w:val="00522632"/>
    <w:rsid w:val="00524746"/>
    <w:rsid w:val="00531310"/>
    <w:rsid w:val="00534982"/>
    <w:rsid w:val="00540418"/>
    <w:rsid w:val="005706D9"/>
    <w:rsid w:val="00582405"/>
    <w:rsid w:val="00584484"/>
    <w:rsid w:val="005855FA"/>
    <w:rsid w:val="005859FA"/>
    <w:rsid w:val="00596CFC"/>
    <w:rsid w:val="005B1D10"/>
    <w:rsid w:val="005B6522"/>
    <w:rsid w:val="005F38CB"/>
    <w:rsid w:val="006046CA"/>
    <w:rsid w:val="006048D2"/>
    <w:rsid w:val="00611E39"/>
    <w:rsid w:val="006133D2"/>
    <w:rsid w:val="00620E8D"/>
    <w:rsid w:val="00624AF0"/>
    <w:rsid w:val="00633237"/>
    <w:rsid w:val="00640E11"/>
    <w:rsid w:val="0064108E"/>
    <w:rsid w:val="00661772"/>
    <w:rsid w:val="00662E1A"/>
    <w:rsid w:val="00665222"/>
    <w:rsid w:val="006668AF"/>
    <w:rsid w:val="00676D1E"/>
    <w:rsid w:val="006A605D"/>
    <w:rsid w:val="006B16E7"/>
    <w:rsid w:val="006B729B"/>
    <w:rsid w:val="006C03CB"/>
    <w:rsid w:val="006D350A"/>
    <w:rsid w:val="006E6B8E"/>
    <w:rsid w:val="006E77DD"/>
    <w:rsid w:val="006F6105"/>
    <w:rsid w:val="00716D8F"/>
    <w:rsid w:val="00735C8C"/>
    <w:rsid w:val="007415E8"/>
    <w:rsid w:val="0074343E"/>
    <w:rsid w:val="007757E0"/>
    <w:rsid w:val="0078139D"/>
    <w:rsid w:val="00794F06"/>
    <w:rsid w:val="0079582C"/>
    <w:rsid w:val="007B1A84"/>
    <w:rsid w:val="007B4655"/>
    <w:rsid w:val="007C33A9"/>
    <w:rsid w:val="007D16CA"/>
    <w:rsid w:val="007D31BE"/>
    <w:rsid w:val="007D6E9A"/>
    <w:rsid w:val="00802567"/>
    <w:rsid w:val="0080591B"/>
    <w:rsid w:val="00811857"/>
    <w:rsid w:val="00816BF6"/>
    <w:rsid w:val="008A6E4D"/>
    <w:rsid w:val="008B0017"/>
    <w:rsid w:val="008B6109"/>
    <w:rsid w:val="008C1C70"/>
    <w:rsid w:val="008D4272"/>
    <w:rsid w:val="008E3652"/>
    <w:rsid w:val="008E38D7"/>
    <w:rsid w:val="008F2BC9"/>
    <w:rsid w:val="009133A2"/>
    <w:rsid w:val="009206EA"/>
    <w:rsid w:val="009271CB"/>
    <w:rsid w:val="00956F64"/>
    <w:rsid w:val="0096474B"/>
    <w:rsid w:val="00976B3A"/>
    <w:rsid w:val="0099048E"/>
    <w:rsid w:val="009909AB"/>
    <w:rsid w:val="009C1CD1"/>
    <w:rsid w:val="009C47DB"/>
    <w:rsid w:val="009C721E"/>
    <w:rsid w:val="009F1266"/>
    <w:rsid w:val="00A0752F"/>
    <w:rsid w:val="00A14B74"/>
    <w:rsid w:val="00A16E67"/>
    <w:rsid w:val="00A50B13"/>
    <w:rsid w:val="00A51FB6"/>
    <w:rsid w:val="00A83BD1"/>
    <w:rsid w:val="00A911BD"/>
    <w:rsid w:val="00AA5F6B"/>
    <w:rsid w:val="00AB13B7"/>
    <w:rsid w:val="00AC514A"/>
    <w:rsid w:val="00AD0E70"/>
    <w:rsid w:val="00AD1576"/>
    <w:rsid w:val="00AD42C4"/>
    <w:rsid w:val="00AD4901"/>
    <w:rsid w:val="00AD7E1C"/>
    <w:rsid w:val="00AE0C4F"/>
    <w:rsid w:val="00AE2230"/>
    <w:rsid w:val="00AE5EA4"/>
    <w:rsid w:val="00AE74C5"/>
    <w:rsid w:val="00B16297"/>
    <w:rsid w:val="00B17423"/>
    <w:rsid w:val="00B42A02"/>
    <w:rsid w:val="00B42BF0"/>
    <w:rsid w:val="00B61B23"/>
    <w:rsid w:val="00B65FA7"/>
    <w:rsid w:val="00B72E45"/>
    <w:rsid w:val="00B849EE"/>
    <w:rsid w:val="00B93254"/>
    <w:rsid w:val="00BA5834"/>
    <w:rsid w:val="00BA602C"/>
    <w:rsid w:val="00BB6926"/>
    <w:rsid w:val="00BB6BB8"/>
    <w:rsid w:val="00BC11BA"/>
    <w:rsid w:val="00BE1ABC"/>
    <w:rsid w:val="00BE286C"/>
    <w:rsid w:val="00C0415E"/>
    <w:rsid w:val="00C2252C"/>
    <w:rsid w:val="00C22F80"/>
    <w:rsid w:val="00C269AE"/>
    <w:rsid w:val="00C31117"/>
    <w:rsid w:val="00C345E8"/>
    <w:rsid w:val="00C44F01"/>
    <w:rsid w:val="00C76527"/>
    <w:rsid w:val="00C929C8"/>
    <w:rsid w:val="00C95417"/>
    <w:rsid w:val="00CA2D37"/>
    <w:rsid w:val="00CB4256"/>
    <w:rsid w:val="00CC2455"/>
    <w:rsid w:val="00CC5CB6"/>
    <w:rsid w:val="00CD7442"/>
    <w:rsid w:val="00CF4CA7"/>
    <w:rsid w:val="00D055EC"/>
    <w:rsid w:val="00D13436"/>
    <w:rsid w:val="00D154BE"/>
    <w:rsid w:val="00D234DC"/>
    <w:rsid w:val="00D325BD"/>
    <w:rsid w:val="00D404ED"/>
    <w:rsid w:val="00D51261"/>
    <w:rsid w:val="00D60191"/>
    <w:rsid w:val="00D748D3"/>
    <w:rsid w:val="00D94661"/>
    <w:rsid w:val="00DA1A4B"/>
    <w:rsid w:val="00DB4299"/>
    <w:rsid w:val="00DD075D"/>
    <w:rsid w:val="00DD230F"/>
    <w:rsid w:val="00DD7E3C"/>
    <w:rsid w:val="00DF3AD2"/>
    <w:rsid w:val="00DF77EA"/>
    <w:rsid w:val="00E05FFB"/>
    <w:rsid w:val="00E1150D"/>
    <w:rsid w:val="00E11D83"/>
    <w:rsid w:val="00E13FEA"/>
    <w:rsid w:val="00E32708"/>
    <w:rsid w:val="00E74945"/>
    <w:rsid w:val="00E86919"/>
    <w:rsid w:val="00E9097D"/>
    <w:rsid w:val="00EA5418"/>
    <w:rsid w:val="00EB1F1F"/>
    <w:rsid w:val="00EC4315"/>
    <w:rsid w:val="00ED67E0"/>
    <w:rsid w:val="00ED7A80"/>
    <w:rsid w:val="00F02128"/>
    <w:rsid w:val="00F04A31"/>
    <w:rsid w:val="00F17883"/>
    <w:rsid w:val="00F2569F"/>
    <w:rsid w:val="00F75E8F"/>
    <w:rsid w:val="00F94A6A"/>
    <w:rsid w:val="00F96944"/>
    <w:rsid w:val="00FA562A"/>
    <w:rsid w:val="00FA56C7"/>
    <w:rsid w:val="00FC4656"/>
    <w:rsid w:val="00FD63EF"/>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15:docId w15:val="{EF11CEDC-98CD-426C-AB95-309223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Puesto">
    <w:name w:val="Title"/>
    <w:basedOn w:val="Normal"/>
    <w:link w:val="PuestoCar"/>
    <w:uiPriority w:val="99"/>
    <w:qFormat/>
    <w:rsid w:val="00184B82"/>
    <w:pPr>
      <w:jc w:val="center"/>
    </w:pPr>
    <w:rPr>
      <w:rFonts w:ascii="Helvetica" w:hAnsi="Helvetica"/>
      <w:b/>
      <w:bCs/>
      <w:sz w:val="28"/>
    </w:rPr>
  </w:style>
  <w:style w:type="character" w:customStyle="1" w:styleId="PuestoCar">
    <w:name w:val="Puesto Car"/>
    <w:basedOn w:val="Fuentedeprrafopredeter"/>
    <w:link w:val="Puest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D031-5715-4B7D-9758-43EBAA44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Vico</cp:lastModifiedBy>
  <cp:revision>3</cp:revision>
  <cp:lastPrinted>2016-02-25T20:48:00Z</cp:lastPrinted>
  <dcterms:created xsi:type="dcterms:W3CDTF">2016-04-25T15:16:00Z</dcterms:created>
  <dcterms:modified xsi:type="dcterms:W3CDTF">2016-04-26T01:19:00Z</dcterms:modified>
</cp:coreProperties>
</file>